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1870"/>
        <w:gridCol w:w="7768"/>
      </w:tblGrid>
      <w:tr w:rsidR="007130AF" w:rsidRPr="001F3870" w:rsidTr="004E5FFF">
        <w:tblPrEx>
          <w:tblCellMar>
            <w:top w:w="0" w:type="dxa"/>
            <w:bottom w:w="0" w:type="dxa"/>
          </w:tblCellMar>
        </w:tblPrEx>
        <w:trPr>
          <w:cantSplit/>
          <w:trHeight w:val="142"/>
        </w:trPr>
        <w:tc>
          <w:tcPr>
            <w:tcW w:w="1868" w:type="dxa"/>
            <w:vMerge w:val="restart"/>
          </w:tcPr>
          <w:p w:rsidR="007130AF" w:rsidRPr="001F3870" w:rsidRDefault="007D3318" w:rsidP="00205A85">
            <w:r w:rsidRPr="001F3870">
              <w:drawing>
                <wp:inline distT="0" distB="0" distL="0" distR="0">
                  <wp:extent cx="1050290" cy="612775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290" cy="61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:rsidR="007130AF" w:rsidRPr="0099658A" w:rsidRDefault="007130AF" w:rsidP="00205A85">
            <w:pPr>
              <w:jc w:val="right"/>
            </w:pPr>
            <w:r w:rsidRPr="001F3870">
              <w:t>Sayfa 1/</w:t>
            </w:r>
            <w:r w:rsidR="00AE3CD9">
              <w:t>2</w:t>
            </w:r>
          </w:p>
        </w:tc>
      </w:tr>
      <w:tr w:rsidR="007130AF" w:rsidRPr="001F3870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1868" w:type="dxa"/>
            <w:vMerge/>
          </w:tcPr>
          <w:p w:rsidR="007130AF" w:rsidRPr="001F3870" w:rsidRDefault="007130AF" w:rsidP="00205A85"/>
        </w:tc>
        <w:tc>
          <w:tcPr>
            <w:tcW w:w="7879" w:type="dxa"/>
          </w:tcPr>
          <w:p w:rsidR="007D3318" w:rsidRPr="0082615C" w:rsidRDefault="007D3318" w:rsidP="00CA2914">
            <w:pPr>
              <w:pStyle w:val="Balk1"/>
              <w:rPr>
                <w:b w:val="0"/>
                <w:sz w:val="24"/>
              </w:rPr>
            </w:pPr>
            <w:bookmarkStart w:id="0" w:name="_Toc56407686"/>
            <w:r w:rsidRPr="0082615C">
              <w:rPr>
                <w:sz w:val="24"/>
              </w:rPr>
              <w:t>T</w:t>
            </w:r>
            <w:bookmarkEnd w:id="0"/>
            <w:r w:rsidRPr="0082615C">
              <w:rPr>
                <w:sz w:val="24"/>
              </w:rPr>
              <w:t>ADİL TASARISI</w:t>
            </w:r>
          </w:p>
          <w:p w:rsidR="00205A85" w:rsidRPr="007D3318" w:rsidRDefault="007D3318" w:rsidP="00205A85">
            <w:pPr>
              <w:rPr>
                <w:i/>
              </w:rPr>
            </w:pPr>
            <w:r w:rsidRPr="0082615C">
              <w:rPr>
                <w:i/>
              </w:rPr>
              <w:t>DRAFT AMENDMENT</w:t>
            </w:r>
            <w:r w:rsidR="00205A85" w:rsidRPr="00634094">
              <w:rPr>
                <w:rFonts w:eastAsia="SimSun"/>
              </w:rPr>
              <w:t xml:space="preserve"> </w:t>
            </w:r>
          </w:p>
        </w:tc>
      </w:tr>
      <w:tr w:rsidR="007130AF" w:rsidRPr="001F3870">
        <w:tblPrEx>
          <w:tblCellMar>
            <w:top w:w="0" w:type="dxa"/>
            <w:bottom w:w="0" w:type="dxa"/>
          </w:tblCellMar>
        </w:tblPrEx>
        <w:trPr>
          <w:cantSplit/>
          <w:trHeight w:val="242"/>
        </w:trPr>
        <w:tc>
          <w:tcPr>
            <w:tcW w:w="1868" w:type="dxa"/>
            <w:vMerge/>
          </w:tcPr>
          <w:p w:rsidR="007130AF" w:rsidRPr="001F3870" w:rsidRDefault="007130AF" w:rsidP="00205A85"/>
        </w:tc>
        <w:tc>
          <w:tcPr>
            <w:tcW w:w="7879" w:type="dxa"/>
          </w:tcPr>
          <w:p w:rsidR="007130AF" w:rsidRPr="001F3870" w:rsidRDefault="007130AF" w:rsidP="00205A85"/>
        </w:tc>
      </w:tr>
    </w:tbl>
    <w:p w:rsidR="007130AF" w:rsidRPr="001F3870" w:rsidRDefault="007130AF" w:rsidP="00205A85"/>
    <w:tbl>
      <w:tblPr>
        <w:tblW w:w="3331" w:type="dxa"/>
        <w:tblInd w:w="6416" w:type="dxa"/>
        <w:tblLayout w:type="fixed"/>
        <w:tblLook w:val="0000" w:firstRow="0" w:lastRow="0" w:firstColumn="0" w:lastColumn="0" w:noHBand="0" w:noVBand="0"/>
      </w:tblPr>
      <w:tblGrid>
        <w:gridCol w:w="3331"/>
      </w:tblGrid>
      <w:tr w:rsidR="007130AF" w:rsidRPr="001F3870" w:rsidTr="007D3318">
        <w:tblPrEx>
          <w:tblCellMar>
            <w:top w:w="0" w:type="dxa"/>
            <w:bottom w:w="0" w:type="dxa"/>
          </w:tblCellMar>
        </w:tblPrEx>
        <w:trPr>
          <w:cantSplit/>
          <w:trHeight w:val="281"/>
        </w:trPr>
        <w:tc>
          <w:tcPr>
            <w:tcW w:w="3331" w:type="dxa"/>
          </w:tcPr>
          <w:p w:rsidR="007130AF" w:rsidRPr="001F3870" w:rsidRDefault="0019492E" w:rsidP="007D3318">
            <w:pPr>
              <w:pStyle w:val="Balk5"/>
              <w:spacing w:before="0" w:after="0"/>
              <w:rPr>
                <w:rFonts w:cs="Arial"/>
                <w:i w:val="0"/>
                <w:sz w:val="32"/>
                <w:szCs w:val="32"/>
              </w:rPr>
            </w:pPr>
            <w:r w:rsidRPr="0019492E">
              <w:rPr>
                <w:rFonts w:cs="Arial"/>
                <w:i w:val="0"/>
                <w:sz w:val="32"/>
                <w:szCs w:val="32"/>
              </w:rPr>
              <w:t xml:space="preserve">TS </w:t>
            </w:r>
            <w:r w:rsidR="00D115E7">
              <w:rPr>
                <w:rFonts w:cs="Arial"/>
                <w:i w:val="0"/>
                <w:sz w:val="32"/>
                <w:szCs w:val="32"/>
              </w:rPr>
              <w:t>11126</w:t>
            </w:r>
            <w:r w:rsidR="007D3318">
              <w:rPr>
                <w:rFonts w:cs="Arial"/>
                <w:i w:val="0"/>
                <w:sz w:val="32"/>
                <w:szCs w:val="32"/>
              </w:rPr>
              <w:t>: 2003</w:t>
            </w:r>
          </w:p>
        </w:tc>
      </w:tr>
      <w:tr w:rsidR="007D3318" w:rsidRPr="001F3870" w:rsidTr="007D3318">
        <w:tblPrEx>
          <w:tblCellMar>
            <w:top w:w="0" w:type="dxa"/>
            <w:bottom w:w="0" w:type="dxa"/>
          </w:tblCellMar>
        </w:tblPrEx>
        <w:trPr>
          <w:cantSplit/>
          <w:trHeight w:val="281"/>
        </w:trPr>
        <w:tc>
          <w:tcPr>
            <w:tcW w:w="3331" w:type="dxa"/>
          </w:tcPr>
          <w:p w:rsidR="007D3318" w:rsidRDefault="007D3318" w:rsidP="007D3318">
            <w:pPr>
              <w:pStyle w:val="Balk5"/>
              <w:spacing w:before="0" w:after="0"/>
              <w:rPr>
                <w:rFonts w:cs="Arial"/>
                <w:i w:val="0"/>
                <w:sz w:val="32"/>
                <w:szCs w:val="32"/>
              </w:rPr>
            </w:pPr>
            <w:r>
              <w:rPr>
                <w:rFonts w:cs="Arial"/>
                <w:i w:val="0"/>
                <w:sz w:val="32"/>
                <w:szCs w:val="32"/>
              </w:rPr>
              <w:t>tst T2:</w:t>
            </w:r>
          </w:p>
        </w:tc>
      </w:tr>
    </w:tbl>
    <w:p w:rsidR="007130AF" w:rsidRPr="001F3870" w:rsidRDefault="007130AF" w:rsidP="00205A85">
      <w:pPr>
        <w:pStyle w:val="GvdeMetni"/>
        <w:pBdr>
          <w:bottom w:val="single" w:sz="4" w:space="1" w:color="auto"/>
        </w:pBdr>
        <w:rPr>
          <w:b w:val="0"/>
          <w:sz w:val="24"/>
        </w:rPr>
      </w:pPr>
      <w:r w:rsidRPr="001F3870">
        <w:rPr>
          <w:sz w:val="24"/>
        </w:rPr>
        <w:t xml:space="preserve">ICS </w:t>
      </w:r>
      <w:r w:rsidR="00D115E7" w:rsidRPr="00205A85">
        <w:rPr>
          <w:b w:val="0"/>
          <w:sz w:val="24"/>
        </w:rPr>
        <w:t>67.220.10</w:t>
      </w:r>
    </w:p>
    <w:p w:rsidR="007130AF" w:rsidRPr="00205A85" w:rsidRDefault="007130AF" w:rsidP="00205A85">
      <w:pPr>
        <w:jc w:val="center"/>
        <w:rPr>
          <w:rFonts w:cs="Arial"/>
          <w:b/>
          <w:sz w:val="10"/>
          <w:szCs w:val="10"/>
        </w:rPr>
      </w:pPr>
    </w:p>
    <w:p w:rsidR="00FD712C" w:rsidRDefault="00FD712C" w:rsidP="00205A85">
      <w:pPr>
        <w:rPr>
          <w:rFonts w:cs="Arial"/>
        </w:rPr>
      </w:pPr>
    </w:p>
    <w:p w:rsidR="007130AF" w:rsidRPr="001F3870" w:rsidRDefault="00CC651F" w:rsidP="00205A85">
      <w:pPr>
        <w:rPr>
          <w:rFonts w:cs="Arial"/>
        </w:rPr>
      </w:pPr>
      <w:r>
        <w:rPr>
          <w:rFonts w:cs="Arial"/>
        </w:rPr>
        <w:t xml:space="preserve">Bu tadil, Türk Standardları Enstitüsü </w:t>
      </w:r>
      <w:r w:rsidR="00D115E7">
        <w:rPr>
          <w:rFonts w:cs="Arial"/>
        </w:rPr>
        <w:t>Gıda</w:t>
      </w:r>
      <w:r w:rsidR="006E7825">
        <w:rPr>
          <w:rFonts w:cs="Arial"/>
        </w:rPr>
        <w:t>,</w:t>
      </w:r>
      <w:r w:rsidR="00D115E7">
        <w:rPr>
          <w:rFonts w:cs="Arial"/>
        </w:rPr>
        <w:t xml:space="preserve"> Tarım ve Hayvancılık</w:t>
      </w:r>
      <w:r>
        <w:rPr>
          <w:rFonts w:cs="Arial"/>
        </w:rPr>
        <w:t xml:space="preserve"> İhtisas Kurulu’na bağlı TK25 Ziraat Teknik Komitesi</w:t>
      </w:r>
      <w:r w:rsidR="00FA1E7B">
        <w:rPr>
          <w:rFonts w:cs="Arial"/>
        </w:rPr>
        <w:t xml:space="preserve"> tarafından</w:t>
      </w:r>
      <w:r>
        <w:rPr>
          <w:rFonts w:cs="Arial"/>
        </w:rPr>
        <w:t xml:space="preserve"> hazırlanmış ve TSE Teknik Kurulu’nun </w:t>
      </w:r>
      <w:r w:rsidR="00A00758">
        <w:rPr>
          <w:rFonts w:cs="Arial"/>
        </w:rPr>
        <w:t>…………</w:t>
      </w:r>
      <w:r w:rsidR="006E7825">
        <w:rPr>
          <w:rFonts w:cs="Arial"/>
        </w:rPr>
        <w:t xml:space="preserve"> </w:t>
      </w:r>
      <w:r w:rsidR="007130AF" w:rsidRPr="001F3870">
        <w:rPr>
          <w:rFonts w:cs="Arial"/>
        </w:rPr>
        <w:t>tarihli toplantısında kabul edilerek yayımına karar verilmiştir.</w:t>
      </w:r>
    </w:p>
    <w:p w:rsidR="007130AF" w:rsidRPr="001F3870" w:rsidRDefault="007130AF" w:rsidP="00205A85">
      <w:pPr>
        <w:rPr>
          <w:rFonts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638"/>
      </w:tblGrid>
      <w:tr w:rsidR="007130AF" w:rsidRPr="00205A85" w:rsidTr="00205A85">
        <w:tblPrEx>
          <w:tblCellMar>
            <w:top w:w="0" w:type="dxa"/>
            <w:bottom w:w="0" w:type="dxa"/>
          </w:tblCellMar>
        </w:tblPrEx>
        <w:tc>
          <w:tcPr>
            <w:tcW w:w="9747" w:type="dxa"/>
          </w:tcPr>
          <w:p w:rsidR="004E5FFF" w:rsidRPr="00205A85" w:rsidRDefault="00D115E7" w:rsidP="00205A85">
            <w:pPr>
              <w:pStyle w:val="GvdeMetni"/>
              <w:jc w:val="center"/>
              <w:rPr>
                <w:rFonts w:cs="Arial"/>
                <w:sz w:val="28"/>
                <w:szCs w:val="28"/>
              </w:rPr>
            </w:pPr>
            <w:r w:rsidRPr="00205A85">
              <w:rPr>
                <w:rFonts w:cs="Arial"/>
                <w:sz w:val="28"/>
                <w:szCs w:val="28"/>
              </w:rPr>
              <w:t>Kurutulmuş biberi</w:t>
            </w:r>
            <w:r w:rsidR="00221699" w:rsidRPr="00205A85">
              <w:rPr>
                <w:rFonts w:cs="Arial"/>
                <w:sz w:val="28"/>
                <w:szCs w:val="28"/>
              </w:rPr>
              <w:t>ye (Rosmarinus officinalis L</w:t>
            </w:r>
            <w:r w:rsidRPr="00205A85">
              <w:rPr>
                <w:rFonts w:cs="Arial"/>
                <w:sz w:val="28"/>
                <w:szCs w:val="28"/>
              </w:rPr>
              <w:t>.)</w:t>
            </w:r>
          </w:p>
          <w:p w:rsidR="00B7712A" w:rsidRPr="00205A85" w:rsidRDefault="00B7712A" w:rsidP="00205A85"/>
        </w:tc>
      </w:tr>
      <w:tr w:rsidR="007130AF" w:rsidRPr="00205A85" w:rsidTr="00205A85">
        <w:tblPrEx>
          <w:tblCellMar>
            <w:top w:w="0" w:type="dxa"/>
            <w:bottom w:w="0" w:type="dxa"/>
          </w:tblCellMar>
        </w:tblPrEx>
        <w:tc>
          <w:tcPr>
            <w:tcW w:w="9747" w:type="dxa"/>
          </w:tcPr>
          <w:p w:rsidR="00723ECD" w:rsidRPr="00E25F19" w:rsidRDefault="00D115E7" w:rsidP="00205A85">
            <w:pPr>
              <w:jc w:val="center"/>
              <w:rPr>
                <w:sz w:val="28"/>
                <w:szCs w:val="28"/>
              </w:rPr>
            </w:pPr>
            <w:r w:rsidRPr="00205A85">
              <w:rPr>
                <w:sz w:val="28"/>
                <w:szCs w:val="28"/>
              </w:rPr>
              <w:t xml:space="preserve">Dried rosemary </w:t>
            </w:r>
            <w:r w:rsidR="007D3318">
              <w:rPr>
                <w:sz w:val="28"/>
                <w:szCs w:val="28"/>
              </w:rPr>
              <w:t>-</w:t>
            </w:r>
            <w:r w:rsidRPr="00205A85">
              <w:rPr>
                <w:sz w:val="28"/>
                <w:szCs w:val="28"/>
              </w:rPr>
              <w:t xml:space="preserve"> Specification</w:t>
            </w:r>
            <w:r w:rsidR="00221699" w:rsidRPr="00205A85">
              <w:rPr>
                <w:sz w:val="28"/>
                <w:szCs w:val="28"/>
              </w:rPr>
              <w:t xml:space="preserve"> (Rosmarinus officinalis L.)</w:t>
            </w:r>
          </w:p>
        </w:tc>
      </w:tr>
    </w:tbl>
    <w:p w:rsidR="004E5FFF" w:rsidRDefault="004E5FFF" w:rsidP="00205A85"/>
    <w:p w:rsidR="007D3318" w:rsidRPr="00205A85" w:rsidRDefault="007D3318" w:rsidP="00205A85"/>
    <w:p w:rsidR="00A00758" w:rsidRDefault="00F0215F" w:rsidP="007D3318">
      <w:pPr>
        <w:numPr>
          <w:ilvl w:val="0"/>
          <w:numId w:val="24"/>
        </w:numPr>
        <w:ind w:left="284" w:hanging="284"/>
      </w:pPr>
      <w:r>
        <w:t xml:space="preserve">Atıf yapılan </w:t>
      </w:r>
      <w:r w:rsidR="000614D7">
        <w:t>standardlardan</w:t>
      </w:r>
      <w:r>
        <w:t xml:space="preserve"> aşağıdaki standardlar</w:t>
      </w:r>
      <w:r w:rsidR="000614D7">
        <w:t xml:space="preserve"> çıkartı</w:t>
      </w:r>
      <w:r w:rsidR="008C7EB3">
        <w:t>lmıştır;</w:t>
      </w:r>
    </w:p>
    <w:p w:rsidR="00735106" w:rsidRDefault="00735106" w:rsidP="007D3318">
      <w:pPr>
        <w:ind w:left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3213"/>
        <w:gridCol w:w="3217"/>
        <w:tblGridChange w:id="1">
          <w:tblGrid>
            <w:gridCol w:w="3198"/>
            <w:gridCol w:w="3213"/>
            <w:gridCol w:w="3217"/>
          </w:tblGrid>
        </w:tblGridChange>
      </w:tblGrid>
      <w:tr w:rsidR="00CA05AF" w:rsidTr="00131C33">
        <w:trPr>
          <w:trHeight w:val="395"/>
        </w:trPr>
        <w:tc>
          <w:tcPr>
            <w:tcW w:w="3259" w:type="dxa"/>
            <w:shd w:val="clear" w:color="auto" w:fill="auto"/>
            <w:vAlign w:val="center"/>
          </w:tcPr>
          <w:p w:rsidR="00CA05AF" w:rsidRPr="00426392" w:rsidRDefault="00F7384D" w:rsidP="00131C33">
            <w:pPr>
              <w:tabs>
                <w:tab w:val="left" w:pos="987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TS N</w:t>
            </w:r>
            <w:r w:rsidR="00F0215F" w:rsidRPr="00426392">
              <w:rPr>
                <w:rFonts w:cs="Arial"/>
                <w:b/>
              </w:rPr>
              <w:t>o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CA05AF" w:rsidRPr="00CE1892" w:rsidRDefault="00F0215F" w:rsidP="00131C33">
            <w:pPr>
              <w:jc w:val="center"/>
              <w:rPr>
                <w:rFonts w:cs="Arial"/>
                <w:b/>
              </w:rPr>
            </w:pPr>
            <w:r w:rsidRPr="00CE1892">
              <w:rPr>
                <w:rFonts w:cs="Arial"/>
                <w:b/>
              </w:rPr>
              <w:t>Türkçe adı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A05AF" w:rsidRPr="008C7EB3" w:rsidRDefault="00F0215F" w:rsidP="00131C33">
            <w:pPr>
              <w:jc w:val="center"/>
              <w:rPr>
                <w:rFonts w:cs="Arial"/>
                <w:b/>
              </w:rPr>
            </w:pPr>
            <w:r w:rsidRPr="008C7EB3">
              <w:rPr>
                <w:rFonts w:cs="Arial"/>
                <w:b/>
              </w:rPr>
              <w:t>İngilzce adı</w:t>
            </w:r>
          </w:p>
        </w:tc>
      </w:tr>
      <w:tr w:rsidR="000614D7" w:rsidTr="00131C33">
        <w:tc>
          <w:tcPr>
            <w:tcW w:w="3259" w:type="dxa"/>
            <w:shd w:val="clear" w:color="auto" w:fill="auto"/>
            <w:vAlign w:val="center"/>
          </w:tcPr>
          <w:p w:rsidR="000614D7" w:rsidRPr="00426392" w:rsidRDefault="000614D7" w:rsidP="00131C33">
            <w:pPr>
              <w:jc w:val="left"/>
            </w:pPr>
            <w:r w:rsidRPr="00426392">
              <w:rPr>
                <w:rFonts w:cs="Arial"/>
              </w:rPr>
              <w:t>TS 1128 ISO 763</w:t>
            </w:r>
          </w:p>
        </w:tc>
        <w:tc>
          <w:tcPr>
            <w:tcW w:w="3259" w:type="dxa"/>
            <w:shd w:val="clear" w:color="auto" w:fill="auto"/>
          </w:tcPr>
          <w:p w:rsidR="000614D7" w:rsidRPr="008C7EB3" w:rsidRDefault="000614D7" w:rsidP="000614D7">
            <w:r w:rsidRPr="00CE1892">
              <w:rPr>
                <w:rFonts w:cs="Arial"/>
              </w:rPr>
              <w:t>Meyve ve sebze mamulleri - Hidroklorik asitte çözünmeyen kül tayini</w:t>
            </w:r>
          </w:p>
        </w:tc>
        <w:tc>
          <w:tcPr>
            <w:tcW w:w="3260" w:type="dxa"/>
            <w:shd w:val="clear" w:color="auto" w:fill="auto"/>
          </w:tcPr>
          <w:p w:rsidR="000614D7" w:rsidRPr="007D3318" w:rsidRDefault="00CA05AF" w:rsidP="000614D7">
            <w:r w:rsidRPr="007D3318">
              <w:rPr>
                <w:rFonts w:cs="Arial"/>
              </w:rPr>
              <w:t>Fruits and vegetable products - Det</w:t>
            </w:r>
            <w:r w:rsidR="00B8224D" w:rsidRPr="007D3318">
              <w:rPr>
                <w:rFonts w:cs="Arial"/>
              </w:rPr>
              <w:t>ermination of ash insoluble in</w:t>
            </w:r>
            <w:r w:rsidR="00B8224D" w:rsidRPr="007D3318">
              <w:rPr>
                <w:rFonts w:cs="Arial"/>
              </w:rPr>
              <w:br/>
            </w:r>
            <w:r w:rsidRPr="007D3318">
              <w:rPr>
                <w:rFonts w:cs="Arial"/>
              </w:rPr>
              <w:t xml:space="preserve"> hydrocloric acid</w:t>
            </w:r>
          </w:p>
        </w:tc>
      </w:tr>
      <w:tr w:rsidR="000614D7" w:rsidTr="00131C33">
        <w:tc>
          <w:tcPr>
            <w:tcW w:w="3259" w:type="dxa"/>
            <w:shd w:val="clear" w:color="auto" w:fill="auto"/>
            <w:vAlign w:val="center"/>
          </w:tcPr>
          <w:p w:rsidR="00CA05AF" w:rsidRPr="00426392" w:rsidRDefault="00F0215F" w:rsidP="00131C33">
            <w:pPr>
              <w:jc w:val="left"/>
              <w:rPr>
                <w:rFonts w:cs="Arial"/>
              </w:rPr>
            </w:pPr>
            <w:r w:rsidRPr="00426392">
              <w:rPr>
                <w:rFonts w:cs="Arial"/>
              </w:rPr>
              <w:t>TS 1227 ISO 3310-1</w:t>
            </w:r>
          </w:p>
          <w:p w:rsidR="000614D7" w:rsidRPr="00CE1892" w:rsidRDefault="000614D7" w:rsidP="00131C33">
            <w:pPr>
              <w:jc w:val="left"/>
            </w:pPr>
          </w:p>
        </w:tc>
        <w:tc>
          <w:tcPr>
            <w:tcW w:w="3259" w:type="dxa"/>
            <w:shd w:val="clear" w:color="auto" w:fill="auto"/>
          </w:tcPr>
          <w:p w:rsidR="000614D7" w:rsidRPr="007D3318" w:rsidRDefault="00E027D7" w:rsidP="000614D7">
            <w:r w:rsidRPr="008C7EB3">
              <w:rPr>
                <w:rFonts w:cs="Arial"/>
              </w:rPr>
              <w:t>Deney elekleri - Teknik özellikler ve deneyler - Kısım 1: Tel örgülü deney elekleri</w:t>
            </w:r>
          </w:p>
        </w:tc>
        <w:tc>
          <w:tcPr>
            <w:tcW w:w="3260" w:type="dxa"/>
            <w:shd w:val="clear" w:color="auto" w:fill="auto"/>
          </w:tcPr>
          <w:p w:rsidR="000614D7" w:rsidRPr="007D3318" w:rsidRDefault="00E027D7" w:rsidP="000614D7">
            <w:r w:rsidRPr="007D3318">
              <w:rPr>
                <w:rFonts w:cs="Arial"/>
              </w:rPr>
              <w:t>Test sieves - Technical requirments and testing - Part 1: Test sieves of metal wire cloth</w:t>
            </w:r>
          </w:p>
        </w:tc>
      </w:tr>
      <w:tr w:rsidR="000614D7" w:rsidTr="00131C33">
        <w:tc>
          <w:tcPr>
            <w:tcW w:w="3259" w:type="dxa"/>
            <w:shd w:val="clear" w:color="auto" w:fill="auto"/>
            <w:vAlign w:val="center"/>
          </w:tcPr>
          <w:p w:rsidR="008E6905" w:rsidRPr="00426392" w:rsidRDefault="00F0215F" w:rsidP="00131C33">
            <w:pPr>
              <w:jc w:val="left"/>
            </w:pPr>
            <w:r w:rsidRPr="00426392">
              <w:rPr>
                <w:rFonts w:cs="Arial"/>
              </w:rPr>
              <w:t>TS 2130</w:t>
            </w:r>
          </w:p>
          <w:p w:rsidR="000614D7" w:rsidRPr="00CE1892" w:rsidRDefault="000614D7" w:rsidP="00131C33">
            <w:pPr>
              <w:jc w:val="left"/>
            </w:pPr>
          </w:p>
        </w:tc>
        <w:tc>
          <w:tcPr>
            <w:tcW w:w="3259" w:type="dxa"/>
            <w:shd w:val="clear" w:color="auto" w:fill="auto"/>
          </w:tcPr>
          <w:p w:rsidR="000614D7" w:rsidRPr="008C7EB3" w:rsidRDefault="008E6905" w:rsidP="000614D7">
            <w:r w:rsidRPr="008C7EB3">
              <w:rPr>
                <w:rFonts w:cs="Arial"/>
              </w:rPr>
              <w:t>Baharat - Yabancı madde tayini</w:t>
            </w:r>
          </w:p>
        </w:tc>
        <w:tc>
          <w:tcPr>
            <w:tcW w:w="3260" w:type="dxa"/>
            <w:shd w:val="clear" w:color="auto" w:fill="auto"/>
          </w:tcPr>
          <w:p w:rsidR="000614D7" w:rsidRPr="007D3318" w:rsidRDefault="008E6905" w:rsidP="000614D7">
            <w:r w:rsidRPr="007D3318">
              <w:rPr>
                <w:rFonts w:cs="Arial"/>
              </w:rPr>
              <w:t>Spices and condiments - Determination of extraneous matter content</w:t>
            </w:r>
          </w:p>
        </w:tc>
      </w:tr>
      <w:tr w:rsidR="000614D7" w:rsidTr="00131C33">
        <w:tc>
          <w:tcPr>
            <w:tcW w:w="3259" w:type="dxa"/>
            <w:shd w:val="clear" w:color="auto" w:fill="auto"/>
            <w:vAlign w:val="center"/>
          </w:tcPr>
          <w:p w:rsidR="008E6905" w:rsidRPr="00426392" w:rsidRDefault="00F0215F" w:rsidP="00131C33">
            <w:pPr>
              <w:jc w:val="left"/>
              <w:rPr>
                <w:rFonts w:cs="Arial"/>
              </w:rPr>
            </w:pPr>
            <w:r w:rsidRPr="00426392">
              <w:rPr>
                <w:rFonts w:cs="Arial"/>
              </w:rPr>
              <w:t>TS 8471</w:t>
            </w:r>
          </w:p>
          <w:p w:rsidR="000614D7" w:rsidRPr="00CE1892" w:rsidRDefault="000614D7" w:rsidP="00131C33">
            <w:pPr>
              <w:jc w:val="left"/>
            </w:pPr>
          </w:p>
        </w:tc>
        <w:tc>
          <w:tcPr>
            <w:tcW w:w="3259" w:type="dxa"/>
            <w:shd w:val="clear" w:color="auto" w:fill="auto"/>
          </w:tcPr>
          <w:p w:rsidR="000614D7" w:rsidRPr="008C7EB3" w:rsidRDefault="008E6905" w:rsidP="000614D7">
            <w:r w:rsidRPr="008C7EB3">
              <w:rPr>
                <w:rFonts w:cs="Arial"/>
              </w:rPr>
              <w:t>Baharat - Yabancı madde tayini</w:t>
            </w:r>
          </w:p>
        </w:tc>
        <w:tc>
          <w:tcPr>
            <w:tcW w:w="3260" w:type="dxa"/>
            <w:shd w:val="clear" w:color="auto" w:fill="auto"/>
          </w:tcPr>
          <w:p w:rsidR="000614D7" w:rsidRPr="007D3318" w:rsidRDefault="008E6905" w:rsidP="000614D7">
            <w:r w:rsidRPr="007D3318">
              <w:rPr>
                <w:rFonts w:cs="Arial"/>
              </w:rPr>
              <w:t>Spices and condiments - Determination of filth</w:t>
            </w:r>
          </w:p>
        </w:tc>
      </w:tr>
    </w:tbl>
    <w:p w:rsidR="000614D7" w:rsidRDefault="000614D7" w:rsidP="00426392"/>
    <w:p w:rsidR="000614D7" w:rsidRDefault="000614D7" w:rsidP="00426392"/>
    <w:p w:rsidR="00F0215F" w:rsidRDefault="00F0215F" w:rsidP="007D3318">
      <w:pPr>
        <w:numPr>
          <w:ilvl w:val="0"/>
          <w:numId w:val="24"/>
        </w:numPr>
        <w:ind w:left="284" w:hanging="284"/>
      </w:pPr>
      <w:r>
        <w:t>Atıf yapılan standardlara aşağıdaki standardlar eklenmiştir</w:t>
      </w:r>
      <w:r w:rsidR="008C7EB3">
        <w:t>;</w:t>
      </w:r>
    </w:p>
    <w:p w:rsidR="000614D7" w:rsidRDefault="000614D7" w:rsidP="007D3318"/>
    <w:p w:rsidR="008E6905" w:rsidRDefault="008E6905" w:rsidP="0042639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3214"/>
        <w:gridCol w:w="3216"/>
        <w:tblGridChange w:id="2">
          <w:tblGrid>
            <w:gridCol w:w="3198"/>
            <w:gridCol w:w="3214"/>
            <w:gridCol w:w="3216"/>
          </w:tblGrid>
        </w:tblGridChange>
      </w:tblGrid>
      <w:tr w:rsidR="00F0215F" w:rsidTr="00131C33">
        <w:trPr>
          <w:trHeight w:val="395"/>
        </w:trPr>
        <w:tc>
          <w:tcPr>
            <w:tcW w:w="3259" w:type="dxa"/>
            <w:shd w:val="clear" w:color="auto" w:fill="auto"/>
            <w:vAlign w:val="center"/>
          </w:tcPr>
          <w:p w:rsidR="00F0215F" w:rsidRPr="00131C33" w:rsidRDefault="00F7384D" w:rsidP="00131C33">
            <w:pPr>
              <w:jc w:val="center"/>
              <w:rPr>
                <w:rFonts w:cs="Arial"/>
              </w:rPr>
            </w:pPr>
            <w:r>
              <w:rPr>
                <w:rFonts w:cs="Arial"/>
                <w:b/>
              </w:rPr>
              <w:t>TS N</w:t>
            </w:r>
            <w:r w:rsidR="00F0215F" w:rsidRPr="00131C33">
              <w:rPr>
                <w:rFonts w:cs="Arial"/>
                <w:b/>
              </w:rPr>
              <w:t>o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F0215F" w:rsidRPr="00131C33" w:rsidRDefault="00F0215F" w:rsidP="00131C33">
            <w:pPr>
              <w:jc w:val="center"/>
              <w:rPr>
                <w:rFonts w:cs="Arial"/>
              </w:rPr>
            </w:pPr>
            <w:r w:rsidRPr="00131C33">
              <w:rPr>
                <w:rFonts w:cs="Arial"/>
                <w:b/>
              </w:rPr>
              <w:t>Türkçe adı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0215F" w:rsidRPr="00131C33" w:rsidRDefault="00F0215F" w:rsidP="00131C33">
            <w:pPr>
              <w:jc w:val="center"/>
              <w:rPr>
                <w:rFonts w:cs="Arial"/>
                <w:i/>
              </w:rPr>
            </w:pPr>
            <w:r w:rsidRPr="00131C33">
              <w:rPr>
                <w:rFonts w:cs="Arial"/>
                <w:b/>
              </w:rPr>
              <w:t>İngilzce adı</w:t>
            </w:r>
          </w:p>
        </w:tc>
      </w:tr>
      <w:tr w:rsidR="00F0215F" w:rsidTr="00131C33">
        <w:tc>
          <w:tcPr>
            <w:tcW w:w="3259" w:type="dxa"/>
            <w:shd w:val="clear" w:color="auto" w:fill="auto"/>
            <w:vAlign w:val="center"/>
          </w:tcPr>
          <w:p w:rsidR="00F0215F" w:rsidRPr="00426392" w:rsidRDefault="00F0215F" w:rsidP="00131C33">
            <w:pPr>
              <w:jc w:val="left"/>
              <w:rPr>
                <w:rFonts w:cs="Arial"/>
              </w:rPr>
            </w:pPr>
            <w:r w:rsidRPr="00426392">
              <w:rPr>
                <w:rFonts w:cs="Arial"/>
              </w:rPr>
              <w:t xml:space="preserve">TS EN ISO 927 </w:t>
            </w:r>
          </w:p>
        </w:tc>
        <w:tc>
          <w:tcPr>
            <w:tcW w:w="3259" w:type="dxa"/>
            <w:shd w:val="clear" w:color="auto" w:fill="auto"/>
          </w:tcPr>
          <w:p w:rsidR="00F0215F" w:rsidRPr="007D3318" w:rsidRDefault="00F0215F" w:rsidP="00F0215F">
            <w:pPr>
              <w:rPr>
                <w:rFonts w:cs="Arial"/>
              </w:rPr>
            </w:pPr>
            <w:r w:rsidRPr="00CE1892">
              <w:rPr>
                <w:rFonts w:cs="Arial"/>
                <w:bCs/>
              </w:rPr>
              <w:t>Baharat ve çeşniler - Yabancı madde ve dış kaynaklı ma</w:t>
            </w:r>
            <w:r w:rsidRPr="008C7EB3">
              <w:rPr>
                <w:rFonts w:cs="Arial"/>
                <w:bCs/>
              </w:rPr>
              <w:t>dde muhtevasının tayini</w:t>
            </w:r>
          </w:p>
        </w:tc>
        <w:tc>
          <w:tcPr>
            <w:tcW w:w="3260" w:type="dxa"/>
            <w:shd w:val="clear" w:color="auto" w:fill="auto"/>
          </w:tcPr>
          <w:p w:rsidR="00F0215F" w:rsidRPr="007D3318" w:rsidRDefault="00F0215F" w:rsidP="00F0215F">
            <w:pPr>
              <w:rPr>
                <w:rFonts w:cs="Arial"/>
              </w:rPr>
            </w:pPr>
            <w:r w:rsidRPr="007D3318">
              <w:rPr>
                <w:rFonts w:cs="Arial"/>
                <w:bCs/>
              </w:rPr>
              <w:t>Spices and condiments - Determination of extraneous matter and foreign matter content</w:t>
            </w:r>
          </w:p>
        </w:tc>
      </w:tr>
      <w:tr w:rsidR="00F0215F" w:rsidTr="00131C33">
        <w:tc>
          <w:tcPr>
            <w:tcW w:w="3259" w:type="dxa"/>
            <w:shd w:val="clear" w:color="auto" w:fill="auto"/>
            <w:vAlign w:val="center"/>
          </w:tcPr>
          <w:p w:rsidR="00F0215F" w:rsidRPr="00426392" w:rsidRDefault="00F0215F" w:rsidP="00131C33">
            <w:pPr>
              <w:jc w:val="left"/>
              <w:rPr>
                <w:rFonts w:cs="Arial"/>
              </w:rPr>
            </w:pPr>
            <w:r w:rsidRPr="00426392">
              <w:rPr>
                <w:rFonts w:cs="Arial"/>
              </w:rPr>
              <w:t>TS 2133 ISO 930</w:t>
            </w:r>
          </w:p>
        </w:tc>
        <w:tc>
          <w:tcPr>
            <w:tcW w:w="3259" w:type="dxa"/>
            <w:shd w:val="clear" w:color="auto" w:fill="auto"/>
          </w:tcPr>
          <w:p w:rsidR="00F0215F" w:rsidRPr="00426392" w:rsidRDefault="0087552F" w:rsidP="00F0215F">
            <w:pPr>
              <w:rPr>
                <w:rFonts w:cs="Arial"/>
              </w:rPr>
            </w:pPr>
            <w:r w:rsidRPr="00DF1EBF">
              <w:rPr>
                <w:rFonts w:cs="Arial"/>
                <w:bCs/>
                <w:noProof w:val="0"/>
              </w:rPr>
              <w:t>Baharat ve çeşni veren bitkiler</w:t>
            </w:r>
            <w:r>
              <w:rPr>
                <w:rFonts w:cs="Arial"/>
                <w:bCs/>
                <w:noProof w:val="0"/>
              </w:rPr>
              <w:t xml:space="preserve"> </w:t>
            </w:r>
            <w:r w:rsidRPr="00DF1EBF">
              <w:rPr>
                <w:rFonts w:cs="Arial"/>
                <w:bCs/>
                <w:noProof w:val="0"/>
              </w:rPr>
              <w:t>- Asitte çözünmeyen kül muhtevası tayini</w:t>
            </w:r>
          </w:p>
        </w:tc>
        <w:tc>
          <w:tcPr>
            <w:tcW w:w="3260" w:type="dxa"/>
            <w:shd w:val="clear" w:color="auto" w:fill="auto"/>
          </w:tcPr>
          <w:p w:rsidR="00F0215F" w:rsidRPr="007D3318" w:rsidRDefault="00F0215F" w:rsidP="00F0215F">
            <w:pPr>
              <w:rPr>
                <w:rFonts w:cs="Arial"/>
              </w:rPr>
            </w:pPr>
            <w:r w:rsidRPr="00CE1892">
              <w:rPr>
                <w:rFonts w:cs="Arial"/>
                <w:bCs/>
              </w:rPr>
              <w:t>Spices and condiments</w:t>
            </w:r>
            <w:r w:rsidR="00B8224D">
              <w:rPr>
                <w:rFonts w:cs="Arial"/>
                <w:bCs/>
              </w:rPr>
              <w:t xml:space="preserve"> </w:t>
            </w:r>
            <w:r w:rsidRPr="00CE1892">
              <w:rPr>
                <w:rFonts w:cs="Arial"/>
                <w:bCs/>
              </w:rPr>
              <w:t>- Determination of acid</w:t>
            </w:r>
            <w:r w:rsidR="00B8224D">
              <w:rPr>
                <w:rFonts w:cs="Arial"/>
                <w:bCs/>
              </w:rPr>
              <w:t xml:space="preserve"> </w:t>
            </w:r>
            <w:r w:rsidRPr="00CE1892">
              <w:rPr>
                <w:rFonts w:cs="Arial"/>
                <w:bCs/>
              </w:rPr>
              <w:t>- Insolu</w:t>
            </w:r>
            <w:r w:rsidRPr="008C7EB3">
              <w:rPr>
                <w:rFonts w:cs="Arial"/>
                <w:bCs/>
              </w:rPr>
              <w:t xml:space="preserve">ble </w:t>
            </w:r>
            <w:r w:rsidRPr="007D3318">
              <w:rPr>
                <w:rFonts w:cs="Arial"/>
                <w:bCs/>
              </w:rPr>
              <w:t>ash</w:t>
            </w:r>
          </w:p>
        </w:tc>
      </w:tr>
      <w:tr w:rsidR="00F0215F" w:rsidTr="00131C33">
        <w:tc>
          <w:tcPr>
            <w:tcW w:w="3259" w:type="dxa"/>
            <w:shd w:val="clear" w:color="auto" w:fill="auto"/>
            <w:vAlign w:val="center"/>
          </w:tcPr>
          <w:p w:rsidR="00F0215F" w:rsidRPr="00426392" w:rsidRDefault="00F0215F" w:rsidP="00131C33">
            <w:pPr>
              <w:jc w:val="left"/>
              <w:rPr>
                <w:rFonts w:cs="Arial"/>
              </w:rPr>
            </w:pPr>
            <w:r w:rsidRPr="00426392">
              <w:rPr>
                <w:rFonts w:cs="Arial"/>
              </w:rPr>
              <w:t>TS ISO 3310-1</w:t>
            </w:r>
          </w:p>
        </w:tc>
        <w:tc>
          <w:tcPr>
            <w:tcW w:w="3259" w:type="dxa"/>
            <w:shd w:val="clear" w:color="auto" w:fill="auto"/>
          </w:tcPr>
          <w:p w:rsidR="00F0215F" w:rsidRPr="008C7EB3" w:rsidRDefault="00F0215F" w:rsidP="00F0215F">
            <w:pPr>
              <w:rPr>
                <w:rFonts w:cs="Arial"/>
              </w:rPr>
            </w:pPr>
            <w:r w:rsidRPr="00CE1892">
              <w:rPr>
                <w:rFonts w:cs="Arial"/>
                <w:bCs/>
              </w:rPr>
              <w:t>Deney elekleri - T</w:t>
            </w:r>
            <w:r w:rsidR="00B8224D">
              <w:rPr>
                <w:rFonts w:cs="Arial"/>
                <w:bCs/>
              </w:rPr>
              <w:t>eknik özellikler ve deneyler - B</w:t>
            </w:r>
            <w:r w:rsidRPr="00CE1892">
              <w:rPr>
                <w:rFonts w:cs="Arial"/>
                <w:bCs/>
              </w:rPr>
              <w:t>ölüm 1: Metal tel örgülü deney elekleri</w:t>
            </w:r>
          </w:p>
        </w:tc>
        <w:tc>
          <w:tcPr>
            <w:tcW w:w="3260" w:type="dxa"/>
            <w:shd w:val="clear" w:color="auto" w:fill="auto"/>
          </w:tcPr>
          <w:p w:rsidR="00F0215F" w:rsidRPr="007D3318" w:rsidRDefault="00B8224D" w:rsidP="00F0215F">
            <w:pPr>
              <w:rPr>
                <w:rFonts w:cs="Arial"/>
              </w:rPr>
            </w:pPr>
            <w:r w:rsidRPr="007D3318">
              <w:rPr>
                <w:rFonts w:cs="Arial"/>
                <w:bCs/>
              </w:rPr>
              <w:t xml:space="preserve">Test </w:t>
            </w:r>
            <w:r>
              <w:rPr>
                <w:rFonts w:cs="Arial"/>
                <w:bCs/>
              </w:rPr>
              <w:t>s</w:t>
            </w:r>
            <w:r w:rsidR="00F0215F" w:rsidRPr="007D3318">
              <w:rPr>
                <w:rFonts w:cs="Arial"/>
                <w:bCs/>
              </w:rPr>
              <w:t>ieves - Technical requirements and testing - Part 1: Test sieves of metal wire cloth</w:t>
            </w:r>
          </w:p>
        </w:tc>
      </w:tr>
    </w:tbl>
    <w:p w:rsidR="008E6905" w:rsidRDefault="008E6905" w:rsidP="00426392"/>
    <w:p w:rsidR="000614D7" w:rsidRDefault="000614D7" w:rsidP="007D3318"/>
    <w:p w:rsidR="00DB779A" w:rsidRPr="00AA19DB" w:rsidRDefault="00DB779A" w:rsidP="007D3318">
      <w:pPr>
        <w:numPr>
          <w:ilvl w:val="0"/>
          <w:numId w:val="24"/>
        </w:numPr>
        <w:ind w:left="284" w:hanging="284"/>
      </w:pPr>
      <w:r>
        <w:t>Madde 1.2.1</w:t>
      </w:r>
      <w:r w:rsidR="00B24CB9">
        <w:t>’in</w:t>
      </w:r>
      <w:r>
        <w:t xml:space="preserve"> üçüncü paragrafı ve son cümlesi </w:t>
      </w:r>
      <w:r>
        <w:rPr>
          <w:rFonts w:cs="Arial"/>
        </w:rPr>
        <w:t>aşağıdaki şekilde değiştirilmiştir;</w:t>
      </w:r>
    </w:p>
    <w:p w:rsidR="00DB779A" w:rsidRDefault="00DB779A" w:rsidP="00DB779A"/>
    <w:p w:rsidR="00DB779A" w:rsidRPr="00AA19DB" w:rsidRDefault="00DB779A" w:rsidP="00DB779A">
      <w:pPr>
        <w:pStyle w:val="GvdeMetniGirintisi2"/>
        <w:spacing w:before="60" w:after="0" w:line="240" w:lineRule="auto"/>
        <w:ind w:left="0"/>
        <w:rPr>
          <w:rFonts w:cs="Arial"/>
        </w:rPr>
      </w:pPr>
      <w:r w:rsidRPr="00AA19DB">
        <w:rPr>
          <w:rFonts w:cs="Arial"/>
        </w:rPr>
        <w:t xml:space="preserve">Canlı böceklerden, normal çıplak veya görme bozuklukları giderilmiş gözle bakıldığında veya herhangi özel bir durumda büyütme ile görülebilecek ölü böceklerden, böcek kalıntılarından ve kemirgen hayvan pisliklerinden (TS </w:t>
      </w:r>
      <w:r>
        <w:rPr>
          <w:rFonts w:cs="Arial"/>
        </w:rPr>
        <w:t>EN ISO 927</w:t>
      </w:r>
      <w:r w:rsidRPr="00AA19DB">
        <w:rPr>
          <w:rFonts w:cs="Arial"/>
        </w:rPr>
        <w:t>) arınmış olmalı (Büyütme 10 katı aşarsa bu durum deney raporunda belirtilmeli),</w:t>
      </w:r>
    </w:p>
    <w:p w:rsidR="00DB779A" w:rsidRDefault="00DB779A" w:rsidP="00DB779A">
      <w:pPr>
        <w:rPr>
          <w:rFonts w:cs="Arial"/>
        </w:rPr>
      </w:pPr>
    </w:p>
    <w:p w:rsidR="007D3318" w:rsidRDefault="007D3318" w:rsidP="000A779F">
      <w:pPr>
        <w:pStyle w:val="stbilgi"/>
        <w:tabs>
          <w:tab w:val="clear" w:pos="9072"/>
          <w:tab w:val="right" w:pos="9638"/>
        </w:tabs>
        <w:jc w:val="right"/>
      </w:pPr>
      <w:r>
        <w:tab/>
      </w:r>
      <w:r>
        <w:tab/>
      </w:r>
      <w:r w:rsidR="000A779F">
        <w:br/>
      </w:r>
      <w:r>
        <w:t>Sayfa 2/2</w:t>
      </w:r>
    </w:p>
    <w:p w:rsidR="007D3318" w:rsidRDefault="007D3318" w:rsidP="007D3318">
      <w:pPr>
        <w:pStyle w:val="stbilgi"/>
        <w:pBdr>
          <w:bottom w:val="single" w:sz="4" w:space="1" w:color="auto"/>
        </w:pBdr>
        <w:tabs>
          <w:tab w:val="clear" w:pos="9072"/>
          <w:tab w:val="right" w:pos="9638"/>
        </w:tabs>
      </w:pPr>
      <w:r>
        <w:t>ICS 67.220.10</w:t>
      </w:r>
      <w:r>
        <w:tab/>
      </w:r>
      <w:r>
        <w:tab/>
        <w:t>TS 11126</w:t>
      </w:r>
      <w:r>
        <w:t>: 2003</w:t>
      </w:r>
      <w:r>
        <w:t>/</w:t>
      </w:r>
      <w:r>
        <w:t xml:space="preserve">tst </w:t>
      </w:r>
      <w:r>
        <w:t>T2</w:t>
      </w:r>
    </w:p>
    <w:p w:rsidR="00DB779A" w:rsidRDefault="00DB779A" w:rsidP="00DB779A">
      <w:pPr>
        <w:rPr>
          <w:rFonts w:cs="Arial"/>
        </w:rPr>
      </w:pPr>
    </w:p>
    <w:p w:rsidR="00F97594" w:rsidRDefault="00F97594" w:rsidP="00DB779A">
      <w:pPr>
        <w:rPr>
          <w:rFonts w:cs="Arial"/>
        </w:rPr>
      </w:pPr>
    </w:p>
    <w:p w:rsidR="00DB779A" w:rsidRPr="00AA19DB" w:rsidRDefault="00DB779A" w:rsidP="00DB779A">
      <w:r w:rsidRPr="00AA19DB">
        <w:rPr>
          <w:rFonts w:cs="Arial"/>
        </w:rPr>
        <w:t>Öğütülmüş biberiye, 315 µm göz açıklığındaki elekten (</w:t>
      </w:r>
      <w:r w:rsidRPr="00426392">
        <w:rPr>
          <w:rFonts w:cs="Arial"/>
        </w:rPr>
        <w:t>TS ISO 3310-1</w:t>
      </w:r>
      <w:r>
        <w:rPr>
          <w:rFonts w:cs="Arial"/>
        </w:rPr>
        <w:t>)</w:t>
      </w:r>
      <w:r w:rsidRPr="00AA19DB">
        <w:rPr>
          <w:rFonts w:cs="Arial"/>
        </w:rPr>
        <w:t xml:space="preserve"> tamamen geçmelidir.</w:t>
      </w:r>
    </w:p>
    <w:p w:rsidR="00DB779A" w:rsidRDefault="00DB779A" w:rsidP="007D3318"/>
    <w:p w:rsidR="00887E1F" w:rsidRDefault="00887E1F" w:rsidP="007D3318">
      <w:bookmarkStart w:id="3" w:name="_GoBack"/>
      <w:bookmarkEnd w:id="3"/>
    </w:p>
    <w:p w:rsidR="00CE1892" w:rsidRPr="007D3318" w:rsidRDefault="008C7EB3" w:rsidP="007D3318">
      <w:pPr>
        <w:numPr>
          <w:ilvl w:val="0"/>
          <w:numId w:val="24"/>
        </w:numPr>
        <w:ind w:left="284" w:hanging="284"/>
      </w:pPr>
      <w:r>
        <w:t xml:space="preserve">Madde 2.3.3 </w:t>
      </w:r>
      <w:r>
        <w:rPr>
          <w:rFonts w:cs="Arial"/>
        </w:rPr>
        <w:t>aşağıdaki şekilde değiştirilmiştir;</w:t>
      </w:r>
    </w:p>
    <w:p w:rsidR="0074074B" w:rsidRPr="0027312E" w:rsidRDefault="0074074B" w:rsidP="0074074B">
      <w:pPr>
        <w:pStyle w:val="Balk3"/>
      </w:pPr>
      <w:r w:rsidRPr="0027312E">
        <w:t>2.3.3</w:t>
      </w:r>
      <w:r w:rsidRPr="0027312E">
        <w:tab/>
        <w:t>Hidroklorik asitte çözünmeyen kül tayini</w:t>
      </w:r>
    </w:p>
    <w:p w:rsidR="00F91E73" w:rsidRDefault="00F91E73" w:rsidP="007D3318">
      <w:pPr>
        <w:rPr>
          <w:rFonts w:cs="Arial"/>
        </w:rPr>
      </w:pPr>
      <w:r w:rsidRPr="007D3318">
        <w:rPr>
          <w:rFonts w:cs="Arial"/>
        </w:rPr>
        <w:t xml:space="preserve">Hidroklorik asitte çözünmeyen kül tayini, TS </w:t>
      </w:r>
      <w:r>
        <w:rPr>
          <w:rFonts w:cs="Arial"/>
        </w:rPr>
        <w:t>2133 ISO 930</w:t>
      </w:r>
      <w:r w:rsidRPr="007D3318">
        <w:rPr>
          <w:rFonts w:cs="Arial"/>
        </w:rPr>
        <w:t>’</w:t>
      </w:r>
      <w:r>
        <w:rPr>
          <w:rFonts w:cs="Arial"/>
        </w:rPr>
        <w:t>a</w:t>
      </w:r>
      <w:r w:rsidRPr="007D3318">
        <w:rPr>
          <w:rFonts w:cs="Arial"/>
        </w:rPr>
        <w:t xml:space="preserve"> göre yapılır. Sonucun Madde 1.2.2’ye uygun olup olmadığına bakılır.</w:t>
      </w:r>
    </w:p>
    <w:p w:rsidR="00F97594" w:rsidRDefault="00F97594" w:rsidP="007D3318">
      <w:pPr>
        <w:rPr>
          <w:rFonts w:cs="Arial"/>
        </w:rPr>
      </w:pPr>
    </w:p>
    <w:p w:rsidR="00F91E73" w:rsidRPr="007D3318" w:rsidRDefault="00F91E73" w:rsidP="007D3318"/>
    <w:p w:rsidR="00F91E73" w:rsidRPr="007D3318" w:rsidRDefault="00F91E73" w:rsidP="007D3318">
      <w:pPr>
        <w:numPr>
          <w:ilvl w:val="0"/>
          <w:numId w:val="24"/>
        </w:numPr>
        <w:ind w:left="284" w:hanging="284"/>
      </w:pPr>
      <w:r>
        <w:t xml:space="preserve">Madde 2.3.6 </w:t>
      </w:r>
      <w:r>
        <w:rPr>
          <w:rFonts w:cs="Arial"/>
        </w:rPr>
        <w:t>aşağıdaki şekilde değiştirilmiştir;</w:t>
      </w:r>
    </w:p>
    <w:p w:rsidR="0074074B" w:rsidRPr="0027312E" w:rsidRDefault="0074074B" w:rsidP="0074074B">
      <w:pPr>
        <w:pStyle w:val="Balk3"/>
      </w:pPr>
      <w:r w:rsidRPr="0027312E">
        <w:t>2.3.6</w:t>
      </w:r>
      <w:r w:rsidRPr="0027312E">
        <w:tab/>
        <w:t>Hayvansal kökenli yabancı madde tayini</w:t>
      </w:r>
    </w:p>
    <w:p w:rsidR="00F91E73" w:rsidRDefault="00F91E73" w:rsidP="007D3318">
      <w:pPr>
        <w:rPr>
          <w:rFonts w:cs="Arial"/>
        </w:rPr>
      </w:pPr>
      <w:r w:rsidRPr="007D3318">
        <w:rPr>
          <w:rFonts w:cs="Arial"/>
        </w:rPr>
        <w:t xml:space="preserve">Hayvansal yabancı madde tayini, TS </w:t>
      </w:r>
      <w:r>
        <w:rPr>
          <w:rFonts w:cs="Arial"/>
        </w:rPr>
        <w:t>EN ISO 927</w:t>
      </w:r>
      <w:r w:rsidRPr="007D3318">
        <w:rPr>
          <w:rFonts w:cs="Arial"/>
        </w:rPr>
        <w:t>’</w:t>
      </w:r>
      <w:r>
        <w:rPr>
          <w:rFonts w:cs="Arial"/>
        </w:rPr>
        <w:t>y</w:t>
      </w:r>
      <w:r w:rsidRPr="007D3318">
        <w:rPr>
          <w:rFonts w:cs="Arial"/>
        </w:rPr>
        <w:t>e göre yapılır. Sonucun Madde 1.2.1’e uygun olup olmadığına bakılır.</w:t>
      </w:r>
    </w:p>
    <w:p w:rsidR="00F91E73" w:rsidRDefault="00F91E73" w:rsidP="007D3318">
      <w:pPr>
        <w:rPr>
          <w:rFonts w:cs="Arial"/>
        </w:rPr>
      </w:pPr>
    </w:p>
    <w:p w:rsidR="00F91E73" w:rsidRDefault="00F91E73" w:rsidP="007D3318">
      <w:pPr>
        <w:rPr>
          <w:rFonts w:cs="Arial"/>
        </w:rPr>
      </w:pPr>
    </w:p>
    <w:p w:rsidR="00F91E73" w:rsidRPr="00AA19DB" w:rsidRDefault="00F91E73" w:rsidP="007D3318">
      <w:pPr>
        <w:numPr>
          <w:ilvl w:val="0"/>
          <w:numId w:val="24"/>
        </w:numPr>
        <w:ind w:left="284" w:hanging="284"/>
      </w:pPr>
      <w:r>
        <w:t xml:space="preserve">Madde 2.3.7 </w:t>
      </w:r>
      <w:r>
        <w:rPr>
          <w:rFonts w:cs="Arial"/>
        </w:rPr>
        <w:t>aşağıdaki şekilde değiştirilmiştir;</w:t>
      </w:r>
    </w:p>
    <w:p w:rsidR="0074074B" w:rsidRPr="0027312E" w:rsidRDefault="0074074B" w:rsidP="0074074B">
      <w:pPr>
        <w:pStyle w:val="Balk3"/>
      </w:pPr>
      <w:r w:rsidRPr="0027312E">
        <w:t>2.3.7</w:t>
      </w:r>
      <w:r w:rsidRPr="0027312E">
        <w:tab/>
        <w:t>Yabancı madde tayini</w:t>
      </w:r>
    </w:p>
    <w:p w:rsidR="00F91E73" w:rsidRPr="007D3318" w:rsidRDefault="00F91E73" w:rsidP="007D3318">
      <w:pPr>
        <w:pStyle w:val="GvdeMetniGirintisi2"/>
        <w:spacing w:after="0" w:line="240" w:lineRule="auto"/>
        <w:ind w:left="0"/>
        <w:rPr>
          <w:rFonts w:cs="Arial"/>
        </w:rPr>
      </w:pPr>
      <w:r w:rsidRPr="007D3318">
        <w:rPr>
          <w:rFonts w:cs="Arial"/>
        </w:rPr>
        <w:t xml:space="preserve">Yabancı madde tayini, TS </w:t>
      </w:r>
      <w:r>
        <w:rPr>
          <w:rFonts w:cs="Arial"/>
        </w:rPr>
        <w:t>EN ISO 927’ye</w:t>
      </w:r>
      <w:r w:rsidRPr="007D3318">
        <w:rPr>
          <w:rFonts w:cs="Arial"/>
        </w:rPr>
        <w:t xml:space="preserve"> göre yapılır. Sonucun Madde 1.2.2’ye uygun olup olmadığına bakılır.</w:t>
      </w:r>
    </w:p>
    <w:p w:rsidR="00F91E73" w:rsidRDefault="00F91E73" w:rsidP="007D3318"/>
    <w:p w:rsidR="00E04F55" w:rsidRPr="007D3318" w:rsidRDefault="00E04F55" w:rsidP="007D3318"/>
    <w:p w:rsidR="00CE1892" w:rsidRPr="007D3318" w:rsidRDefault="00CE1892" w:rsidP="007D3318"/>
    <w:p w:rsidR="00936194" w:rsidRPr="007D3318" w:rsidRDefault="00936194" w:rsidP="007D3318"/>
    <w:sectPr w:rsidR="00936194" w:rsidRPr="007D3318" w:rsidSect="00C64D39">
      <w:pgSz w:w="11906" w:h="16838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B21" w:rsidRDefault="006F6B21" w:rsidP="00C5787A">
      <w:r>
        <w:separator/>
      </w:r>
    </w:p>
  </w:endnote>
  <w:endnote w:type="continuationSeparator" w:id="0">
    <w:p w:rsidR="006F6B21" w:rsidRDefault="006F6B21" w:rsidP="00C57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B21" w:rsidRDefault="006F6B21" w:rsidP="00C5787A">
      <w:r>
        <w:separator/>
      </w:r>
    </w:p>
  </w:footnote>
  <w:footnote w:type="continuationSeparator" w:id="0">
    <w:p w:rsidR="006F6B21" w:rsidRDefault="006F6B21" w:rsidP="00C57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626"/>
    <w:multiLevelType w:val="hybridMultilevel"/>
    <w:tmpl w:val="8F425DB8"/>
    <w:lvl w:ilvl="0" w:tplc="F18659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27808"/>
    <w:multiLevelType w:val="hybridMultilevel"/>
    <w:tmpl w:val="31EC7674"/>
    <w:lvl w:ilvl="0" w:tplc="0E2ABE04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B72ED"/>
    <w:multiLevelType w:val="hybridMultilevel"/>
    <w:tmpl w:val="02CCA2E4"/>
    <w:lvl w:ilvl="0" w:tplc="53429F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77110"/>
    <w:multiLevelType w:val="hybridMultilevel"/>
    <w:tmpl w:val="00868150"/>
    <w:lvl w:ilvl="0" w:tplc="A95A6BC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F604A"/>
    <w:multiLevelType w:val="hybridMultilevel"/>
    <w:tmpl w:val="AFE8E89A"/>
    <w:lvl w:ilvl="0" w:tplc="F098BAA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02C57"/>
    <w:multiLevelType w:val="hybridMultilevel"/>
    <w:tmpl w:val="83467FAE"/>
    <w:lvl w:ilvl="0" w:tplc="167AC1A0">
      <w:numFmt w:val="bullet"/>
      <w:lvlText w:val="-"/>
      <w:lvlJc w:val="left"/>
      <w:pPr>
        <w:tabs>
          <w:tab w:val="num" w:pos="389"/>
        </w:tabs>
        <w:ind w:left="389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hanging="1"/>
      </w:pPr>
      <w:rPr>
        <w:rFonts w:ascii="Arial" w:hAnsi="Arial" w:hint="default"/>
        <w:b/>
        <w:i w:val="0"/>
        <w:sz w:val="20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hanging="1"/>
      </w:pPr>
      <w:rPr>
        <w:rFonts w:ascii="Arial" w:hAnsi="Arial" w:hint="default"/>
        <w:b/>
        <w:i w:val="0"/>
        <w:sz w:val="20"/>
        <w:szCs w:val="22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20"/>
        <w:szCs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hint="default"/>
        <w:b/>
        <w:i w:val="0"/>
        <w:sz w:val="22"/>
        <w:szCs w:val="22"/>
      </w:rPr>
    </w:lvl>
  </w:abstractNum>
  <w:abstractNum w:abstractNumId="7" w15:restartNumberingAfterBreak="0">
    <w:nsid w:val="1F874523"/>
    <w:multiLevelType w:val="hybridMultilevel"/>
    <w:tmpl w:val="05B694B2"/>
    <w:lvl w:ilvl="0" w:tplc="DA988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B038F"/>
    <w:multiLevelType w:val="hybridMultilevel"/>
    <w:tmpl w:val="67A80B36"/>
    <w:lvl w:ilvl="0" w:tplc="5A48E2AC">
      <w:start w:val="17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34F84AAA"/>
    <w:multiLevelType w:val="hybridMultilevel"/>
    <w:tmpl w:val="E108B4C0"/>
    <w:lvl w:ilvl="0" w:tplc="70E0CA8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8B638B"/>
    <w:multiLevelType w:val="hybridMultilevel"/>
    <w:tmpl w:val="4F2A5658"/>
    <w:lvl w:ilvl="0" w:tplc="53429F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A57338"/>
    <w:multiLevelType w:val="hybridMultilevel"/>
    <w:tmpl w:val="D834F6D8"/>
    <w:lvl w:ilvl="0" w:tplc="6F00E65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170F8E"/>
    <w:multiLevelType w:val="hybridMultilevel"/>
    <w:tmpl w:val="3B349A38"/>
    <w:lvl w:ilvl="0" w:tplc="99C20B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E29C8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/>
        <w:i w:val="0"/>
      </w:rPr>
    </w:lvl>
  </w:abstractNum>
  <w:abstractNum w:abstractNumId="15" w15:restartNumberingAfterBreak="0">
    <w:nsid w:val="44E07660"/>
    <w:multiLevelType w:val="hybridMultilevel"/>
    <w:tmpl w:val="2E5CE1F4"/>
    <w:lvl w:ilvl="0" w:tplc="DA988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D39B1"/>
    <w:multiLevelType w:val="hybridMultilevel"/>
    <w:tmpl w:val="A22C0CF0"/>
    <w:lvl w:ilvl="0" w:tplc="A0823B8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5C4E88"/>
    <w:multiLevelType w:val="hybridMultilevel"/>
    <w:tmpl w:val="BF12AD3E"/>
    <w:lvl w:ilvl="0" w:tplc="53429F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451EBF"/>
    <w:multiLevelType w:val="hybridMultilevel"/>
    <w:tmpl w:val="990A87B0"/>
    <w:lvl w:ilvl="0" w:tplc="DA988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FB7876"/>
    <w:multiLevelType w:val="hybridMultilevel"/>
    <w:tmpl w:val="B1A24056"/>
    <w:lvl w:ilvl="0" w:tplc="9E4C476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C25EF6"/>
    <w:multiLevelType w:val="hybridMultilevel"/>
    <w:tmpl w:val="BF8AB488"/>
    <w:lvl w:ilvl="0" w:tplc="167AC1A0">
      <w:numFmt w:val="bullet"/>
      <w:lvlText w:val="-"/>
      <w:lvlJc w:val="left"/>
      <w:pPr>
        <w:tabs>
          <w:tab w:val="num" w:pos="389"/>
        </w:tabs>
        <w:ind w:left="389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tabs>
          <w:tab w:val="num" w:pos="1109"/>
        </w:tabs>
        <w:ind w:left="1109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829"/>
        </w:tabs>
        <w:ind w:left="1829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269"/>
        </w:tabs>
        <w:ind w:left="3269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89"/>
        </w:tabs>
        <w:ind w:left="3989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709"/>
        </w:tabs>
        <w:ind w:left="4709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429"/>
        </w:tabs>
        <w:ind w:left="5429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149"/>
        </w:tabs>
        <w:ind w:left="6149" w:hanging="360"/>
      </w:pPr>
      <w:rPr>
        <w:rFonts w:ascii="Wingdings" w:hAnsi="Wingdings" w:hint="default"/>
      </w:rPr>
    </w:lvl>
  </w:abstractNum>
  <w:abstractNum w:abstractNumId="24" w15:restartNumberingAfterBreak="0">
    <w:nsid w:val="7D6D2485"/>
    <w:multiLevelType w:val="hybridMultilevel"/>
    <w:tmpl w:val="6C16EC2C"/>
    <w:lvl w:ilvl="0" w:tplc="87F07082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eastAsia="SimSun" w:hAnsi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1"/>
  </w:num>
  <w:num w:numId="4">
    <w:abstractNumId w:val="22"/>
  </w:num>
  <w:num w:numId="5">
    <w:abstractNumId w:val="16"/>
  </w:num>
  <w:num w:numId="6">
    <w:abstractNumId w:val="2"/>
  </w:num>
  <w:num w:numId="7">
    <w:abstractNumId w:val="19"/>
  </w:num>
  <w:num w:numId="8">
    <w:abstractNumId w:val="15"/>
  </w:num>
  <w:num w:numId="9">
    <w:abstractNumId w:val="7"/>
  </w:num>
  <w:num w:numId="10">
    <w:abstractNumId w:val="10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1"/>
  </w:num>
  <w:num w:numId="14">
    <w:abstractNumId w:val="18"/>
  </w:num>
  <w:num w:numId="15">
    <w:abstractNumId w:val="12"/>
  </w:num>
  <w:num w:numId="16">
    <w:abstractNumId w:val="8"/>
  </w:num>
  <w:num w:numId="1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4"/>
  </w:num>
  <w:num w:numId="20">
    <w:abstractNumId w:val="14"/>
  </w:num>
  <w:num w:numId="21">
    <w:abstractNumId w:val="4"/>
  </w:num>
  <w:num w:numId="22">
    <w:abstractNumId w:val="20"/>
  </w:num>
  <w:num w:numId="23">
    <w:abstractNumId w:val="3"/>
  </w:num>
  <w:num w:numId="24">
    <w:abstractNumId w:val="13"/>
  </w:num>
  <w:num w:numId="25">
    <w:abstractNumId w:val="17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hideSpellingErrors/>
  <w:activeWritingStyle w:appName="MSWord" w:lang="en-AU" w:vendorID="64" w:dllVersion="131078" w:nlCheck="1" w:checkStyle="0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DZpcxsdvoQ8D4ZKepWqJ7yKPoEgv8vWGNba7iFOmFL2ApYLXnaRsX1+YqsHh97u2+rZZytOgAb/Ta8jlHkScfg==" w:salt="8Bv+r+5Su2/zKWaisNNqHA==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77"/>
    <w:rsid w:val="00002341"/>
    <w:rsid w:val="0001046D"/>
    <w:rsid w:val="00013269"/>
    <w:rsid w:val="00017806"/>
    <w:rsid w:val="00017D01"/>
    <w:rsid w:val="00027CE2"/>
    <w:rsid w:val="000300AA"/>
    <w:rsid w:val="0003013C"/>
    <w:rsid w:val="00032838"/>
    <w:rsid w:val="00035928"/>
    <w:rsid w:val="00060642"/>
    <w:rsid w:val="000614D7"/>
    <w:rsid w:val="00063C7A"/>
    <w:rsid w:val="0007373A"/>
    <w:rsid w:val="00081544"/>
    <w:rsid w:val="0009026D"/>
    <w:rsid w:val="0009502F"/>
    <w:rsid w:val="0009787A"/>
    <w:rsid w:val="000A390B"/>
    <w:rsid w:val="000A779F"/>
    <w:rsid w:val="000B1859"/>
    <w:rsid w:val="000B1A86"/>
    <w:rsid w:val="000B6135"/>
    <w:rsid w:val="000C762F"/>
    <w:rsid w:val="000D3F1E"/>
    <w:rsid w:val="000D532C"/>
    <w:rsid w:val="000D6C66"/>
    <w:rsid w:val="000D7B12"/>
    <w:rsid w:val="000E077A"/>
    <w:rsid w:val="000E4287"/>
    <w:rsid w:val="000E77D9"/>
    <w:rsid w:val="001014EF"/>
    <w:rsid w:val="00111DD9"/>
    <w:rsid w:val="0011407F"/>
    <w:rsid w:val="00114F93"/>
    <w:rsid w:val="00116435"/>
    <w:rsid w:val="00116B8F"/>
    <w:rsid w:val="00131C33"/>
    <w:rsid w:val="00132BAE"/>
    <w:rsid w:val="00135633"/>
    <w:rsid w:val="00144080"/>
    <w:rsid w:val="001468A6"/>
    <w:rsid w:val="00150C9E"/>
    <w:rsid w:val="0015407B"/>
    <w:rsid w:val="00156F9D"/>
    <w:rsid w:val="0017796D"/>
    <w:rsid w:val="00181FB3"/>
    <w:rsid w:val="00184586"/>
    <w:rsid w:val="0019077F"/>
    <w:rsid w:val="00191B57"/>
    <w:rsid w:val="0019492E"/>
    <w:rsid w:val="0019521F"/>
    <w:rsid w:val="001A2100"/>
    <w:rsid w:val="001B37CE"/>
    <w:rsid w:val="001B6676"/>
    <w:rsid w:val="001D0DF1"/>
    <w:rsid w:val="001E39C6"/>
    <w:rsid w:val="001E5483"/>
    <w:rsid w:val="001E5E85"/>
    <w:rsid w:val="001E73EE"/>
    <w:rsid w:val="001F0710"/>
    <w:rsid w:val="001F3870"/>
    <w:rsid w:val="00205A85"/>
    <w:rsid w:val="002152FD"/>
    <w:rsid w:val="002155AD"/>
    <w:rsid w:val="00221699"/>
    <w:rsid w:val="002240A0"/>
    <w:rsid w:val="00224F57"/>
    <w:rsid w:val="00244938"/>
    <w:rsid w:val="002450AB"/>
    <w:rsid w:val="00246A6F"/>
    <w:rsid w:val="00257585"/>
    <w:rsid w:val="002601DE"/>
    <w:rsid w:val="00274455"/>
    <w:rsid w:val="00276ADC"/>
    <w:rsid w:val="002773BC"/>
    <w:rsid w:val="00284712"/>
    <w:rsid w:val="00285C66"/>
    <w:rsid w:val="00294B1A"/>
    <w:rsid w:val="00296FBB"/>
    <w:rsid w:val="002A452D"/>
    <w:rsid w:val="002B505C"/>
    <w:rsid w:val="002B730D"/>
    <w:rsid w:val="002C3403"/>
    <w:rsid w:val="002C7E73"/>
    <w:rsid w:val="002D70D2"/>
    <w:rsid w:val="002E1601"/>
    <w:rsid w:val="002E27FD"/>
    <w:rsid w:val="002F472F"/>
    <w:rsid w:val="00306E2E"/>
    <w:rsid w:val="00326C4D"/>
    <w:rsid w:val="003279A1"/>
    <w:rsid w:val="003367B2"/>
    <w:rsid w:val="0034765C"/>
    <w:rsid w:val="00350782"/>
    <w:rsid w:val="00355982"/>
    <w:rsid w:val="003560BA"/>
    <w:rsid w:val="00356A1A"/>
    <w:rsid w:val="0036129D"/>
    <w:rsid w:val="003829B1"/>
    <w:rsid w:val="00384577"/>
    <w:rsid w:val="00387B35"/>
    <w:rsid w:val="00390845"/>
    <w:rsid w:val="003A3F96"/>
    <w:rsid w:val="003A7124"/>
    <w:rsid w:val="003B1970"/>
    <w:rsid w:val="003B5861"/>
    <w:rsid w:val="003C7371"/>
    <w:rsid w:val="003D220D"/>
    <w:rsid w:val="003D7237"/>
    <w:rsid w:val="003E32D2"/>
    <w:rsid w:val="003F0858"/>
    <w:rsid w:val="003F6C0C"/>
    <w:rsid w:val="003F6E09"/>
    <w:rsid w:val="00401E13"/>
    <w:rsid w:val="00402570"/>
    <w:rsid w:val="004050ED"/>
    <w:rsid w:val="00426392"/>
    <w:rsid w:val="00430604"/>
    <w:rsid w:val="0043284F"/>
    <w:rsid w:val="004334A6"/>
    <w:rsid w:val="00436BA2"/>
    <w:rsid w:val="004374F2"/>
    <w:rsid w:val="00441CF4"/>
    <w:rsid w:val="00443D7F"/>
    <w:rsid w:val="004537D7"/>
    <w:rsid w:val="004538E2"/>
    <w:rsid w:val="0045630E"/>
    <w:rsid w:val="00462673"/>
    <w:rsid w:val="004676E7"/>
    <w:rsid w:val="00467A64"/>
    <w:rsid w:val="00470FF2"/>
    <w:rsid w:val="00475760"/>
    <w:rsid w:val="00484AA9"/>
    <w:rsid w:val="00496A9E"/>
    <w:rsid w:val="004A1CB8"/>
    <w:rsid w:val="004A7448"/>
    <w:rsid w:val="004A799D"/>
    <w:rsid w:val="004B1067"/>
    <w:rsid w:val="004B1E6E"/>
    <w:rsid w:val="004B7C25"/>
    <w:rsid w:val="004D06FB"/>
    <w:rsid w:val="004D07D5"/>
    <w:rsid w:val="004E2169"/>
    <w:rsid w:val="004E5FFF"/>
    <w:rsid w:val="005035DD"/>
    <w:rsid w:val="005079E0"/>
    <w:rsid w:val="0052279D"/>
    <w:rsid w:val="005265A2"/>
    <w:rsid w:val="00527CA7"/>
    <w:rsid w:val="005339EC"/>
    <w:rsid w:val="00534E8B"/>
    <w:rsid w:val="005414AD"/>
    <w:rsid w:val="00544687"/>
    <w:rsid w:val="0054520A"/>
    <w:rsid w:val="005503B3"/>
    <w:rsid w:val="00553B34"/>
    <w:rsid w:val="00555F7C"/>
    <w:rsid w:val="00556057"/>
    <w:rsid w:val="005569A9"/>
    <w:rsid w:val="00560055"/>
    <w:rsid w:val="00563910"/>
    <w:rsid w:val="00564C09"/>
    <w:rsid w:val="005665DD"/>
    <w:rsid w:val="00576A78"/>
    <w:rsid w:val="00580F1A"/>
    <w:rsid w:val="0058640D"/>
    <w:rsid w:val="00592853"/>
    <w:rsid w:val="00596ED7"/>
    <w:rsid w:val="005A0226"/>
    <w:rsid w:val="005A56EF"/>
    <w:rsid w:val="005B1287"/>
    <w:rsid w:val="005C23AA"/>
    <w:rsid w:val="005C28F5"/>
    <w:rsid w:val="005C373E"/>
    <w:rsid w:val="005D037F"/>
    <w:rsid w:val="005D5B38"/>
    <w:rsid w:val="005D69F5"/>
    <w:rsid w:val="005E7B48"/>
    <w:rsid w:val="005F35FA"/>
    <w:rsid w:val="005F74F5"/>
    <w:rsid w:val="00615ECC"/>
    <w:rsid w:val="006164C0"/>
    <w:rsid w:val="006236CB"/>
    <w:rsid w:val="00625BA0"/>
    <w:rsid w:val="00625D24"/>
    <w:rsid w:val="00640A09"/>
    <w:rsid w:val="00645CF9"/>
    <w:rsid w:val="0065112D"/>
    <w:rsid w:val="00660FA4"/>
    <w:rsid w:val="00670DE5"/>
    <w:rsid w:val="00672064"/>
    <w:rsid w:val="00675D99"/>
    <w:rsid w:val="00683B91"/>
    <w:rsid w:val="006A1DC5"/>
    <w:rsid w:val="006A37EF"/>
    <w:rsid w:val="006A480C"/>
    <w:rsid w:val="006B2B64"/>
    <w:rsid w:val="006B32A2"/>
    <w:rsid w:val="006B48C5"/>
    <w:rsid w:val="006C572E"/>
    <w:rsid w:val="006C66F4"/>
    <w:rsid w:val="006D05FA"/>
    <w:rsid w:val="006D567A"/>
    <w:rsid w:val="006E3739"/>
    <w:rsid w:val="006E7825"/>
    <w:rsid w:val="006F6B21"/>
    <w:rsid w:val="00701C75"/>
    <w:rsid w:val="007130AF"/>
    <w:rsid w:val="00720236"/>
    <w:rsid w:val="00723ECD"/>
    <w:rsid w:val="007310C6"/>
    <w:rsid w:val="00735106"/>
    <w:rsid w:val="0073601D"/>
    <w:rsid w:val="00737992"/>
    <w:rsid w:val="0074074B"/>
    <w:rsid w:val="0074285F"/>
    <w:rsid w:val="007432C9"/>
    <w:rsid w:val="00750F74"/>
    <w:rsid w:val="007537CC"/>
    <w:rsid w:val="00764EED"/>
    <w:rsid w:val="0077012A"/>
    <w:rsid w:val="007713CF"/>
    <w:rsid w:val="00773EEC"/>
    <w:rsid w:val="00777707"/>
    <w:rsid w:val="00787C8E"/>
    <w:rsid w:val="007905B3"/>
    <w:rsid w:val="00795738"/>
    <w:rsid w:val="007B53EA"/>
    <w:rsid w:val="007C51AB"/>
    <w:rsid w:val="007D0595"/>
    <w:rsid w:val="007D096F"/>
    <w:rsid w:val="007D3318"/>
    <w:rsid w:val="007E4D95"/>
    <w:rsid w:val="007F4F90"/>
    <w:rsid w:val="007F4FC5"/>
    <w:rsid w:val="00800618"/>
    <w:rsid w:val="008058EA"/>
    <w:rsid w:val="0081500E"/>
    <w:rsid w:val="008167A2"/>
    <w:rsid w:val="00817217"/>
    <w:rsid w:val="00817BF2"/>
    <w:rsid w:val="00830A06"/>
    <w:rsid w:val="00830F72"/>
    <w:rsid w:val="008315A3"/>
    <w:rsid w:val="008368FE"/>
    <w:rsid w:val="00842768"/>
    <w:rsid w:val="00842BFB"/>
    <w:rsid w:val="00843951"/>
    <w:rsid w:val="00844FFB"/>
    <w:rsid w:val="00846741"/>
    <w:rsid w:val="00850DA2"/>
    <w:rsid w:val="00854922"/>
    <w:rsid w:val="00856055"/>
    <w:rsid w:val="00857646"/>
    <w:rsid w:val="00857DF5"/>
    <w:rsid w:val="008607CB"/>
    <w:rsid w:val="0086211F"/>
    <w:rsid w:val="00864DBD"/>
    <w:rsid w:val="0087552F"/>
    <w:rsid w:val="008755AA"/>
    <w:rsid w:val="0087724D"/>
    <w:rsid w:val="00883527"/>
    <w:rsid w:val="00887E1F"/>
    <w:rsid w:val="008932FF"/>
    <w:rsid w:val="00897082"/>
    <w:rsid w:val="008A1852"/>
    <w:rsid w:val="008A7804"/>
    <w:rsid w:val="008B27D0"/>
    <w:rsid w:val="008B7A97"/>
    <w:rsid w:val="008C7EB3"/>
    <w:rsid w:val="008D5179"/>
    <w:rsid w:val="008D662C"/>
    <w:rsid w:val="008D6AA8"/>
    <w:rsid w:val="008E09C1"/>
    <w:rsid w:val="008E1C11"/>
    <w:rsid w:val="008E6905"/>
    <w:rsid w:val="008F3333"/>
    <w:rsid w:val="009026A2"/>
    <w:rsid w:val="009165AA"/>
    <w:rsid w:val="009220FD"/>
    <w:rsid w:val="009248D9"/>
    <w:rsid w:val="00924DA7"/>
    <w:rsid w:val="00936194"/>
    <w:rsid w:val="00945EE6"/>
    <w:rsid w:val="009469FC"/>
    <w:rsid w:val="0095160A"/>
    <w:rsid w:val="0095284A"/>
    <w:rsid w:val="00955EB8"/>
    <w:rsid w:val="00962B4E"/>
    <w:rsid w:val="00974DA7"/>
    <w:rsid w:val="00987592"/>
    <w:rsid w:val="00994100"/>
    <w:rsid w:val="0099658A"/>
    <w:rsid w:val="009A0BC7"/>
    <w:rsid w:val="009A1809"/>
    <w:rsid w:val="009A2DB5"/>
    <w:rsid w:val="009A70F1"/>
    <w:rsid w:val="009A79E7"/>
    <w:rsid w:val="009B2A93"/>
    <w:rsid w:val="009B3536"/>
    <w:rsid w:val="009B5253"/>
    <w:rsid w:val="009B64BD"/>
    <w:rsid w:val="009B68A2"/>
    <w:rsid w:val="009C48B3"/>
    <w:rsid w:val="009D35C1"/>
    <w:rsid w:val="009D55FE"/>
    <w:rsid w:val="009E5FC8"/>
    <w:rsid w:val="009F0555"/>
    <w:rsid w:val="009F3267"/>
    <w:rsid w:val="009F3903"/>
    <w:rsid w:val="009F3E24"/>
    <w:rsid w:val="00A00758"/>
    <w:rsid w:val="00A01E28"/>
    <w:rsid w:val="00A101A8"/>
    <w:rsid w:val="00A12EE3"/>
    <w:rsid w:val="00A16B7E"/>
    <w:rsid w:val="00A2440C"/>
    <w:rsid w:val="00A322B2"/>
    <w:rsid w:val="00A36726"/>
    <w:rsid w:val="00A4064C"/>
    <w:rsid w:val="00A40792"/>
    <w:rsid w:val="00A41AFF"/>
    <w:rsid w:val="00A50898"/>
    <w:rsid w:val="00A56D41"/>
    <w:rsid w:val="00A65612"/>
    <w:rsid w:val="00A7036D"/>
    <w:rsid w:val="00A725DC"/>
    <w:rsid w:val="00A767BD"/>
    <w:rsid w:val="00A8364E"/>
    <w:rsid w:val="00A86F1C"/>
    <w:rsid w:val="00A90EA7"/>
    <w:rsid w:val="00A9671A"/>
    <w:rsid w:val="00AB3C65"/>
    <w:rsid w:val="00AB5B87"/>
    <w:rsid w:val="00AC5E3F"/>
    <w:rsid w:val="00AD2AAE"/>
    <w:rsid w:val="00AD2F9C"/>
    <w:rsid w:val="00AD6D78"/>
    <w:rsid w:val="00AD7DD9"/>
    <w:rsid w:val="00AE3BDD"/>
    <w:rsid w:val="00AE3CD9"/>
    <w:rsid w:val="00AE7FCE"/>
    <w:rsid w:val="00AF64A9"/>
    <w:rsid w:val="00AF73FE"/>
    <w:rsid w:val="00B049E4"/>
    <w:rsid w:val="00B05A7B"/>
    <w:rsid w:val="00B11932"/>
    <w:rsid w:val="00B12966"/>
    <w:rsid w:val="00B200FD"/>
    <w:rsid w:val="00B24CB9"/>
    <w:rsid w:val="00B27CBB"/>
    <w:rsid w:val="00B37225"/>
    <w:rsid w:val="00B37AF9"/>
    <w:rsid w:val="00B50692"/>
    <w:rsid w:val="00B64A37"/>
    <w:rsid w:val="00B65EF1"/>
    <w:rsid w:val="00B708D7"/>
    <w:rsid w:val="00B7123A"/>
    <w:rsid w:val="00B712A3"/>
    <w:rsid w:val="00B741C4"/>
    <w:rsid w:val="00B7712A"/>
    <w:rsid w:val="00B8224D"/>
    <w:rsid w:val="00B82436"/>
    <w:rsid w:val="00B83626"/>
    <w:rsid w:val="00B86ABA"/>
    <w:rsid w:val="00B874AF"/>
    <w:rsid w:val="00B92898"/>
    <w:rsid w:val="00B93E5D"/>
    <w:rsid w:val="00BA4339"/>
    <w:rsid w:val="00BA4747"/>
    <w:rsid w:val="00BA647E"/>
    <w:rsid w:val="00BB5562"/>
    <w:rsid w:val="00BC49A6"/>
    <w:rsid w:val="00BC7221"/>
    <w:rsid w:val="00BC7F0E"/>
    <w:rsid w:val="00BD2F29"/>
    <w:rsid w:val="00BE1143"/>
    <w:rsid w:val="00BF4FFC"/>
    <w:rsid w:val="00BF6012"/>
    <w:rsid w:val="00BF66CC"/>
    <w:rsid w:val="00BF7BC7"/>
    <w:rsid w:val="00C06283"/>
    <w:rsid w:val="00C078F3"/>
    <w:rsid w:val="00C16E8D"/>
    <w:rsid w:val="00C20E22"/>
    <w:rsid w:val="00C22627"/>
    <w:rsid w:val="00C235BA"/>
    <w:rsid w:val="00C25B50"/>
    <w:rsid w:val="00C271D7"/>
    <w:rsid w:val="00C34B4B"/>
    <w:rsid w:val="00C5787A"/>
    <w:rsid w:val="00C64D39"/>
    <w:rsid w:val="00C70674"/>
    <w:rsid w:val="00C70F2C"/>
    <w:rsid w:val="00C74D0A"/>
    <w:rsid w:val="00C82901"/>
    <w:rsid w:val="00C8503D"/>
    <w:rsid w:val="00C87551"/>
    <w:rsid w:val="00C95B88"/>
    <w:rsid w:val="00CA05AF"/>
    <w:rsid w:val="00CA25B1"/>
    <w:rsid w:val="00CA4041"/>
    <w:rsid w:val="00CA4496"/>
    <w:rsid w:val="00CB3A25"/>
    <w:rsid w:val="00CC6221"/>
    <w:rsid w:val="00CC651F"/>
    <w:rsid w:val="00CD02D5"/>
    <w:rsid w:val="00CD3582"/>
    <w:rsid w:val="00CE1892"/>
    <w:rsid w:val="00D04CA2"/>
    <w:rsid w:val="00D115E7"/>
    <w:rsid w:val="00D11FF7"/>
    <w:rsid w:val="00D13A1C"/>
    <w:rsid w:val="00D1469F"/>
    <w:rsid w:val="00D153E1"/>
    <w:rsid w:val="00D159FD"/>
    <w:rsid w:val="00D16B56"/>
    <w:rsid w:val="00D3216C"/>
    <w:rsid w:val="00D3647A"/>
    <w:rsid w:val="00D427C7"/>
    <w:rsid w:val="00D67DBA"/>
    <w:rsid w:val="00D737DC"/>
    <w:rsid w:val="00D75AC8"/>
    <w:rsid w:val="00D76EFA"/>
    <w:rsid w:val="00D80FC0"/>
    <w:rsid w:val="00D81FF5"/>
    <w:rsid w:val="00D85A2D"/>
    <w:rsid w:val="00D86D52"/>
    <w:rsid w:val="00D97799"/>
    <w:rsid w:val="00D97DA2"/>
    <w:rsid w:val="00DA00E5"/>
    <w:rsid w:val="00DA41C2"/>
    <w:rsid w:val="00DB779A"/>
    <w:rsid w:val="00DC4BD7"/>
    <w:rsid w:val="00DC6681"/>
    <w:rsid w:val="00DC67BD"/>
    <w:rsid w:val="00DC69FC"/>
    <w:rsid w:val="00DD5FD3"/>
    <w:rsid w:val="00DD6CBE"/>
    <w:rsid w:val="00DE3CC9"/>
    <w:rsid w:val="00DE6BC5"/>
    <w:rsid w:val="00DF0A2E"/>
    <w:rsid w:val="00E027D7"/>
    <w:rsid w:val="00E04F55"/>
    <w:rsid w:val="00E06D2A"/>
    <w:rsid w:val="00E1553B"/>
    <w:rsid w:val="00E15AAF"/>
    <w:rsid w:val="00E22F07"/>
    <w:rsid w:val="00E23E7B"/>
    <w:rsid w:val="00E25EFF"/>
    <w:rsid w:val="00E25F19"/>
    <w:rsid w:val="00E266A1"/>
    <w:rsid w:val="00E3148D"/>
    <w:rsid w:val="00E471D7"/>
    <w:rsid w:val="00E472D0"/>
    <w:rsid w:val="00E47EB1"/>
    <w:rsid w:val="00E525F5"/>
    <w:rsid w:val="00E56FD6"/>
    <w:rsid w:val="00E65150"/>
    <w:rsid w:val="00E7246C"/>
    <w:rsid w:val="00E74D6E"/>
    <w:rsid w:val="00E85C61"/>
    <w:rsid w:val="00EA3AB3"/>
    <w:rsid w:val="00EA6152"/>
    <w:rsid w:val="00EA69EA"/>
    <w:rsid w:val="00EB5650"/>
    <w:rsid w:val="00EC0BC4"/>
    <w:rsid w:val="00EC3CFC"/>
    <w:rsid w:val="00EC7DC2"/>
    <w:rsid w:val="00ED61DA"/>
    <w:rsid w:val="00ED70DE"/>
    <w:rsid w:val="00EE2006"/>
    <w:rsid w:val="00EF1CF3"/>
    <w:rsid w:val="00EF3CDA"/>
    <w:rsid w:val="00F01DD5"/>
    <w:rsid w:val="00F0215F"/>
    <w:rsid w:val="00F029A2"/>
    <w:rsid w:val="00F04400"/>
    <w:rsid w:val="00F049B6"/>
    <w:rsid w:val="00F11025"/>
    <w:rsid w:val="00F121C1"/>
    <w:rsid w:val="00F12C61"/>
    <w:rsid w:val="00F213B8"/>
    <w:rsid w:val="00F22D98"/>
    <w:rsid w:val="00F22EBC"/>
    <w:rsid w:val="00F25CD1"/>
    <w:rsid w:val="00F27A93"/>
    <w:rsid w:val="00F33C59"/>
    <w:rsid w:val="00F476CA"/>
    <w:rsid w:val="00F50E0F"/>
    <w:rsid w:val="00F5647D"/>
    <w:rsid w:val="00F7384D"/>
    <w:rsid w:val="00F75051"/>
    <w:rsid w:val="00F7652E"/>
    <w:rsid w:val="00F823C9"/>
    <w:rsid w:val="00F91E73"/>
    <w:rsid w:val="00F97594"/>
    <w:rsid w:val="00FA1E7B"/>
    <w:rsid w:val="00FB0342"/>
    <w:rsid w:val="00FB26C3"/>
    <w:rsid w:val="00FB34F9"/>
    <w:rsid w:val="00FC2D7B"/>
    <w:rsid w:val="00FC4C17"/>
    <w:rsid w:val="00FD0799"/>
    <w:rsid w:val="00FD0E79"/>
    <w:rsid w:val="00FD1992"/>
    <w:rsid w:val="00FD712C"/>
    <w:rsid w:val="00FE2456"/>
    <w:rsid w:val="00FF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561E26D"/>
  <w15:chartTrackingRefBased/>
  <w15:docId w15:val="{64FEA5A7-18DA-4992-AA01-0ED941161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EEC"/>
    <w:pPr>
      <w:jc w:val="both"/>
    </w:pPr>
    <w:rPr>
      <w:rFonts w:ascii="Arial" w:hAnsi="Arial"/>
      <w:noProof/>
    </w:rPr>
  </w:style>
  <w:style w:type="paragraph" w:styleId="Balk1">
    <w:name w:val="heading 1"/>
    <w:aliases w:val="Başlık 1 Char,1 Heading,baslık 1,Heading 1 Char"/>
    <w:basedOn w:val="Normal"/>
    <w:next w:val="Normal"/>
    <w:link w:val="Balk1Char1"/>
    <w:qFormat/>
    <w:rsid w:val="00974DA7"/>
    <w:pPr>
      <w:keepNext/>
      <w:tabs>
        <w:tab w:val="left" w:pos="567"/>
      </w:tabs>
      <w:overflowPunct w:val="0"/>
      <w:adjustRightInd w:val="0"/>
      <w:textAlignment w:val="baseline"/>
      <w:outlineLvl w:val="0"/>
    </w:pPr>
    <w:rPr>
      <w:rFonts w:eastAsia="SimSun"/>
      <w:b/>
      <w:sz w:val="28"/>
      <w:szCs w:val="24"/>
      <w:lang w:val="en-US" w:eastAsia="en-US"/>
    </w:rPr>
  </w:style>
  <w:style w:type="paragraph" w:styleId="Balk2">
    <w:name w:val="heading 2"/>
    <w:basedOn w:val="Normal"/>
    <w:next w:val="Normal"/>
    <w:qFormat/>
    <w:rsid w:val="003D7237"/>
    <w:pPr>
      <w:keepNext/>
      <w:outlineLvl w:val="1"/>
    </w:pPr>
    <w:rPr>
      <w:rFonts w:eastAsia="SimSun"/>
      <w:b/>
      <w:bCs/>
      <w:sz w:val="24"/>
      <w:szCs w:val="24"/>
    </w:rPr>
  </w:style>
  <w:style w:type="paragraph" w:styleId="Balk3">
    <w:name w:val="heading 3"/>
    <w:aliases w:val="Heading 3 Char"/>
    <w:basedOn w:val="Normal"/>
    <w:next w:val="Normal"/>
    <w:link w:val="Balk3Char"/>
    <w:qFormat/>
    <w:rsid w:val="00974DA7"/>
    <w:pPr>
      <w:keepNext/>
      <w:spacing w:before="240" w:after="60"/>
      <w:outlineLvl w:val="2"/>
    </w:pPr>
    <w:rPr>
      <w:rFonts w:cs="Arial"/>
      <w:b/>
      <w:bCs/>
      <w:noProof w:val="0"/>
      <w:sz w:val="22"/>
      <w:szCs w:val="22"/>
    </w:rPr>
  </w:style>
  <w:style w:type="paragraph" w:styleId="Balk4">
    <w:name w:val="heading 4"/>
    <w:basedOn w:val="Normal"/>
    <w:next w:val="Normal"/>
    <w:qFormat/>
    <w:rsid w:val="007130A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alk5">
    <w:name w:val="heading 5"/>
    <w:basedOn w:val="Normal"/>
    <w:next w:val="Normal"/>
    <w:qFormat/>
    <w:rsid w:val="007130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017D0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Balk7">
    <w:name w:val="heading 7"/>
    <w:basedOn w:val="Normal"/>
    <w:next w:val="Normal"/>
    <w:qFormat/>
    <w:rsid w:val="009B68A2"/>
    <w:pPr>
      <w:keepNext/>
      <w:outlineLvl w:val="6"/>
    </w:pPr>
    <w:rPr>
      <w:rFonts w:cs="Arial"/>
      <w:b/>
      <w:bCs/>
      <w:sz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T1">
    <w:name w:val="toc 1"/>
    <w:basedOn w:val="Normal"/>
    <w:next w:val="Normal"/>
    <w:semiHidden/>
    <w:rsid w:val="00E1553B"/>
    <w:pPr>
      <w:tabs>
        <w:tab w:val="left" w:pos="567"/>
        <w:tab w:val="right" w:leader="dot" w:pos="9628"/>
      </w:tabs>
      <w:spacing w:before="60" w:after="60"/>
      <w:jc w:val="left"/>
    </w:pPr>
    <w:rPr>
      <w:b/>
      <w:lang w:val="en-AU"/>
    </w:rPr>
  </w:style>
  <w:style w:type="paragraph" w:styleId="T2">
    <w:name w:val="toc 2"/>
    <w:basedOn w:val="Normal"/>
    <w:next w:val="Normal"/>
    <w:semiHidden/>
    <w:rsid w:val="00D75AC8"/>
    <w:pPr>
      <w:tabs>
        <w:tab w:val="left" w:pos="567"/>
        <w:tab w:val="right" w:leader="dot" w:pos="9628"/>
      </w:tabs>
      <w:ind w:left="198"/>
    </w:pPr>
    <w:rPr>
      <w:rFonts w:eastAsia="SimSun" w:cs="Arial"/>
      <w:szCs w:val="28"/>
      <w:lang w:val="en-AU"/>
    </w:rPr>
  </w:style>
  <w:style w:type="paragraph" w:styleId="T3">
    <w:name w:val="toc 3"/>
    <w:basedOn w:val="Normal"/>
    <w:next w:val="Normal"/>
    <w:semiHidden/>
    <w:rsid w:val="00484AA9"/>
    <w:pPr>
      <w:tabs>
        <w:tab w:val="right" w:leader="dot" w:pos="567"/>
      </w:tabs>
      <w:ind w:left="403"/>
    </w:pPr>
    <w:rPr>
      <w:rFonts w:eastAsia="SimSun" w:cs="Arial"/>
      <w:bCs/>
      <w:snapToGrid w:val="0"/>
      <w:kern w:val="20"/>
      <w:szCs w:val="28"/>
      <w:lang w:val="en-AU"/>
    </w:rPr>
  </w:style>
  <w:style w:type="paragraph" w:styleId="T4">
    <w:name w:val="toc 4"/>
    <w:basedOn w:val="Normal"/>
    <w:next w:val="Normal"/>
    <w:semiHidden/>
    <w:rsid w:val="00C70674"/>
    <w:pPr>
      <w:ind w:left="600"/>
      <w:jc w:val="left"/>
    </w:pPr>
  </w:style>
  <w:style w:type="paragraph" w:styleId="T5">
    <w:name w:val="toc 5"/>
    <w:basedOn w:val="Normal"/>
    <w:next w:val="Normal"/>
    <w:semiHidden/>
    <w:rsid w:val="00C70674"/>
    <w:pPr>
      <w:ind w:left="800"/>
      <w:jc w:val="left"/>
    </w:pPr>
  </w:style>
  <w:style w:type="paragraph" w:styleId="T9">
    <w:name w:val="toc 9"/>
    <w:basedOn w:val="Normal"/>
    <w:next w:val="Normal"/>
    <w:semiHidden/>
    <w:rsid w:val="00C70674"/>
    <w:pPr>
      <w:ind w:left="1600"/>
      <w:jc w:val="left"/>
    </w:pPr>
  </w:style>
  <w:style w:type="paragraph" w:styleId="T8">
    <w:name w:val="toc 8"/>
    <w:basedOn w:val="Normal"/>
    <w:next w:val="Normal"/>
    <w:semiHidden/>
    <w:rsid w:val="00C70674"/>
    <w:pPr>
      <w:ind w:left="1400"/>
      <w:jc w:val="left"/>
    </w:pPr>
  </w:style>
  <w:style w:type="paragraph" w:styleId="T7">
    <w:name w:val="toc 7"/>
    <w:basedOn w:val="Normal"/>
    <w:next w:val="Normal"/>
    <w:semiHidden/>
    <w:rsid w:val="00C70674"/>
    <w:pPr>
      <w:ind w:left="1200"/>
      <w:jc w:val="left"/>
    </w:pPr>
  </w:style>
  <w:style w:type="paragraph" w:styleId="T6">
    <w:name w:val="toc 6"/>
    <w:basedOn w:val="Normal"/>
    <w:next w:val="Normal"/>
    <w:semiHidden/>
    <w:rsid w:val="00C70674"/>
    <w:pPr>
      <w:ind w:left="1000"/>
      <w:jc w:val="left"/>
    </w:pPr>
  </w:style>
  <w:style w:type="paragraph" w:customStyle="1" w:styleId="StyleHeading1Characterscale84">
    <w:name w:val="Style Heading 1 + Character scale: 84%"/>
    <w:basedOn w:val="Balk1"/>
    <w:next w:val="Balk1"/>
    <w:rsid w:val="00191B57"/>
    <w:rPr>
      <w:w w:val="84"/>
    </w:rPr>
  </w:style>
  <w:style w:type="paragraph" w:customStyle="1" w:styleId="Style1">
    <w:name w:val="Style1"/>
    <w:basedOn w:val="Balk2"/>
    <w:next w:val="T2"/>
    <w:rsid w:val="00A4064C"/>
    <w:pPr>
      <w:tabs>
        <w:tab w:val="left" w:pos="567"/>
      </w:tabs>
    </w:pPr>
  </w:style>
  <w:style w:type="paragraph" w:customStyle="1" w:styleId="StyleHeading3">
    <w:name w:val="Style Heading 3"/>
    <w:aliases w:val="Başlık 3 Char1 + (Latin) 10 pt"/>
    <w:basedOn w:val="Balk3"/>
    <w:rsid w:val="00555F7C"/>
  </w:style>
  <w:style w:type="paragraph" w:styleId="Altbilgi">
    <w:name w:val="Altbilgi"/>
    <w:basedOn w:val="Normal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stbilgi">
    <w:name w:val="Üstbilgi"/>
    <w:basedOn w:val="Normal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NormalWeb">
    <w:name w:val="Normal (Web)"/>
    <w:basedOn w:val="Normal"/>
    <w:rsid w:val="00E56FD6"/>
    <w:rPr>
      <w:szCs w:val="24"/>
    </w:rPr>
  </w:style>
  <w:style w:type="paragraph" w:customStyle="1" w:styleId="StyleHeading2Left">
    <w:name w:val="Style Heading 2 + Left"/>
    <w:basedOn w:val="Balk2"/>
    <w:rsid w:val="00F04400"/>
    <w:pPr>
      <w:widowControl w:val="0"/>
      <w:autoSpaceDE w:val="0"/>
      <w:autoSpaceDN w:val="0"/>
      <w:adjustRightInd w:val="0"/>
      <w:jc w:val="left"/>
    </w:pPr>
    <w:rPr>
      <w:szCs w:val="28"/>
    </w:rPr>
  </w:style>
  <w:style w:type="paragraph" w:customStyle="1" w:styleId="StyleComplex10ptLatinBoldCentered">
    <w:name w:val="Style (Complex) 10 pt (Latin) Bold Centered"/>
    <w:basedOn w:val="Normal"/>
    <w:next w:val="Normal"/>
    <w:rsid w:val="0015407B"/>
    <w:pPr>
      <w:jc w:val="center"/>
    </w:pPr>
    <w:rPr>
      <w:b/>
    </w:rPr>
  </w:style>
  <w:style w:type="paragraph" w:customStyle="1" w:styleId="Style2">
    <w:name w:val="Style2"/>
    <w:basedOn w:val="Normal"/>
    <w:rsid w:val="005E7B48"/>
  </w:style>
  <w:style w:type="paragraph" w:customStyle="1" w:styleId="StyleStil5CharJustified">
    <w:name w:val="Style Stil5 Char + Justified"/>
    <w:basedOn w:val="Normal"/>
    <w:next w:val="Normal"/>
    <w:rsid w:val="00132BAE"/>
    <w:rPr>
      <w:szCs w:val="24"/>
    </w:rPr>
  </w:style>
  <w:style w:type="paragraph" w:customStyle="1" w:styleId="StyleStil5CharBoldJustified">
    <w:name w:val="Style Stil5 Char + Bold Justified"/>
    <w:basedOn w:val="Normal"/>
    <w:next w:val="Normal"/>
    <w:rsid w:val="00132BAE"/>
    <w:rPr>
      <w:bCs/>
      <w:szCs w:val="24"/>
    </w:rPr>
  </w:style>
  <w:style w:type="paragraph" w:customStyle="1" w:styleId="StyleHeading1">
    <w:name w:val="Style Heading 1"/>
    <w:aliases w:val="Başlık 1 Char + Arial"/>
    <w:basedOn w:val="Normal"/>
    <w:rsid w:val="00132BAE"/>
    <w:pPr>
      <w:jc w:val="left"/>
    </w:pPr>
    <w:rPr>
      <w:szCs w:val="24"/>
    </w:rPr>
  </w:style>
  <w:style w:type="paragraph" w:customStyle="1" w:styleId="StyleStyle2Justified">
    <w:name w:val="Style Style2 + Justified"/>
    <w:basedOn w:val="Normal"/>
    <w:next w:val="Normal"/>
    <w:rsid w:val="00132BAE"/>
  </w:style>
  <w:style w:type="paragraph" w:customStyle="1" w:styleId="StyleStyle2Centered">
    <w:name w:val="Style Style2 + Centered"/>
    <w:basedOn w:val="Normal"/>
    <w:next w:val="Normal"/>
    <w:rsid w:val="00132BAE"/>
    <w:pPr>
      <w:jc w:val="center"/>
    </w:pPr>
  </w:style>
  <w:style w:type="paragraph" w:customStyle="1" w:styleId="StyleStyle2BoldJustified">
    <w:name w:val="Style Style2 + Bold Justified"/>
    <w:basedOn w:val="Normal"/>
    <w:next w:val="Normal"/>
    <w:rsid w:val="00132BAE"/>
    <w:rPr>
      <w:b/>
      <w:bCs/>
    </w:rPr>
  </w:style>
  <w:style w:type="character" w:customStyle="1" w:styleId="Balk3Char">
    <w:name w:val="Başlık 3 Char"/>
    <w:aliases w:val="Heading 3 Char Char"/>
    <w:link w:val="Balk3"/>
    <w:rsid w:val="008755AA"/>
    <w:rPr>
      <w:rFonts w:ascii="Arial" w:hAnsi="Arial" w:cs="Arial"/>
      <w:b/>
      <w:bCs/>
      <w:sz w:val="22"/>
      <w:szCs w:val="22"/>
      <w:lang w:val="tr-TR" w:eastAsia="tr-TR" w:bidi="ar-SA"/>
    </w:rPr>
  </w:style>
  <w:style w:type="paragraph" w:customStyle="1" w:styleId="StyleHeading2Arial">
    <w:name w:val="Style Heading 2 + Arial"/>
    <w:basedOn w:val="Balk2"/>
    <w:rsid w:val="00C271D7"/>
    <w:rPr>
      <w:bCs w:val="0"/>
    </w:rPr>
  </w:style>
  <w:style w:type="paragraph" w:customStyle="1" w:styleId="StyleHeading211pt">
    <w:name w:val="Style Heading 2 + 11 pt"/>
    <w:basedOn w:val="Balk2"/>
    <w:rsid w:val="003F6E09"/>
    <w:rPr>
      <w:bCs w:val="0"/>
    </w:rPr>
  </w:style>
  <w:style w:type="paragraph" w:customStyle="1" w:styleId="StyleHeading2Expandedby05pt">
    <w:name w:val="Style Heading 2 + Expanded by  05 pt"/>
    <w:basedOn w:val="Balk2"/>
    <w:rsid w:val="002E27FD"/>
    <w:pPr>
      <w:spacing w:before="240" w:after="60"/>
    </w:pPr>
    <w:rPr>
      <w:rFonts w:eastAsia="Times New Roman" w:cs="Arial"/>
      <w:bCs w:val="0"/>
      <w:iCs/>
      <w:color w:val="000000"/>
      <w:spacing w:val="10"/>
      <w:szCs w:val="28"/>
    </w:rPr>
  </w:style>
  <w:style w:type="paragraph" w:customStyle="1" w:styleId="StyleHeading2">
    <w:name w:val="Style Heading 2"/>
    <w:aliases w:val="Başlık 2 Char + Arial"/>
    <w:basedOn w:val="Balk2"/>
    <w:rsid w:val="00645CF9"/>
    <w:rPr>
      <w:bCs w:val="0"/>
    </w:rPr>
  </w:style>
  <w:style w:type="paragraph" w:customStyle="1" w:styleId="StyleHeading212ptJustifiedLeft0cm">
    <w:name w:val="Style Heading 2 + 12 pt Justified Left:  0 cm"/>
    <w:basedOn w:val="Balk2"/>
    <w:rsid w:val="0019077F"/>
    <w:pPr>
      <w:ind w:right="506"/>
    </w:pPr>
    <w:rPr>
      <w:szCs w:val="20"/>
    </w:rPr>
  </w:style>
  <w:style w:type="paragraph" w:customStyle="1" w:styleId="Style">
    <w:name w:val="Style"/>
    <w:basedOn w:val="Normal"/>
    <w:rsid w:val="00A16B7E"/>
    <w:pPr>
      <w:spacing w:line="200" w:lineRule="exact"/>
    </w:pPr>
    <w:rPr>
      <w:lang w:eastAsia="zh-CN"/>
    </w:rPr>
  </w:style>
  <w:style w:type="paragraph" w:customStyle="1" w:styleId="StyleHeading3BlackAfter0pt">
    <w:name w:val="Style Heading 3 + Black After:  0 pt"/>
    <w:basedOn w:val="Balk3"/>
    <w:rsid w:val="00D16B56"/>
    <w:pPr>
      <w:tabs>
        <w:tab w:val="left" w:pos="340"/>
        <w:tab w:val="left" w:pos="680"/>
      </w:tabs>
    </w:pPr>
    <w:rPr>
      <w:rFonts w:cs="Times New Roman"/>
      <w:color w:val="000000"/>
      <w:szCs w:val="20"/>
      <w:lang w:val="en-AU" w:eastAsia="zh-CN"/>
    </w:rPr>
  </w:style>
  <w:style w:type="character" w:customStyle="1" w:styleId="StyleArial14ptBold">
    <w:name w:val="Style Arial 14 pt Bold"/>
    <w:rsid w:val="00D13A1C"/>
    <w:rPr>
      <w:rFonts w:ascii="Arial" w:hAnsi="Arial"/>
      <w:b/>
      <w:bCs/>
      <w:sz w:val="28"/>
    </w:rPr>
  </w:style>
  <w:style w:type="paragraph" w:customStyle="1" w:styleId="StyleHeading212pt">
    <w:name w:val="Style Heading 2 + 12 pt"/>
    <w:basedOn w:val="Balk2"/>
    <w:rsid w:val="003F6E09"/>
    <w:pPr>
      <w:jc w:val="left"/>
    </w:pPr>
    <w:rPr>
      <w:bCs w:val="0"/>
    </w:rPr>
  </w:style>
  <w:style w:type="paragraph" w:customStyle="1" w:styleId="StyleHeading311ptJustifiedBefore12ptAfter3pt">
    <w:name w:val="Style Heading 3 + 11 pt Justified Before:  12 pt After:  3 pt"/>
    <w:basedOn w:val="Balk3"/>
    <w:rsid w:val="00955EB8"/>
    <w:rPr>
      <w:rFonts w:cs="Times New Roman"/>
      <w:szCs w:val="20"/>
      <w:lang w:val="en-US"/>
    </w:rPr>
  </w:style>
  <w:style w:type="paragraph" w:customStyle="1" w:styleId="StyleHeading2Black">
    <w:name w:val="Style Heading 2 + Black"/>
    <w:basedOn w:val="Balk2"/>
    <w:rsid w:val="00496A9E"/>
    <w:rPr>
      <w:bCs w:val="0"/>
      <w:color w:val="000000"/>
    </w:rPr>
  </w:style>
  <w:style w:type="paragraph" w:customStyle="1" w:styleId="StyleArial14ptBoldJustified">
    <w:name w:val="Style Arial 14 pt Bold Justified"/>
    <w:basedOn w:val="Normal"/>
    <w:rsid w:val="00191B57"/>
    <w:rPr>
      <w:b/>
      <w:bCs/>
      <w:sz w:val="28"/>
      <w:lang w:val="en-US" w:eastAsia="en-US"/>
    </w:rPr>
  </w:style>
  <w:style w:type="paragraph" w:customStyle="1" w:styleId="Style14ptBoldCentered">
    <w:name w:val="Style 14 pt Bold Centered"/>
    <w:basedOn w:val="Normal"/>
    <w:rsid w:val="008B27D0"/>
    <w:pPr>
      <w:jc w:val="center"/>
    </w:pPr>
    <w:rPr>
      <w:b/>
      <w:bCs/>
    </w:rPr>
  </w:style>
  <w:style w:type="paragraph" w:customStyle="1" w:styleId="StyleHeading211pt1">
    <w:name w:val="Style Heading 2 + 11 pt1"/>
    <w:basedOn w:val="Balk2"/>
    <w:rsid w:val="00C87551"/>
    <w:rPr>
      <w:bCs w:val="0"/>
      <w:sz w:val="22"/>
    </w:rPr>
  </w:style>
  <w:style w:type="paragraph" w:customStyle="1" w:styleId="StyleHeading211pt2">
    <w:name w:val="Style Heading 2 + 11 pt2"/>
    <w:basedOn w:val="Balk2"/>
    <w:rsid w:val="002773BC"/>
    <w:rPr>
      <w:bCs w:val="0"/>
    </w:rPr>
  </w:style>
  <w:style w:type="paragraph" w:customStyle="1" w:styleId="StyleHeading2Italic">
    <w:name w:val="Style Heading 2 + Italic"/>
    <w:basedOn w:val="Balk2"/>
    <w:rsid w:val="006B48C5"/>
    <w:rPr>
      <w:bCs w:val="0"/>
      <w:iCs/>
    </w:rPr>
  </w:style>
  <w:style w:type="paragraph" w:customStyle="1" w:styleId="StyleBoldJustified">
    <w:name w:val="Style Bold Justified"/>
    <w:basedOn w:val="Normal"/>
    <w:rsid w:val="00534E8B"/>
  </w:style>
  <w:style w:type="character" w:customStyle="1" w:styleId="StyleBold">
    <w:name w:val="Style Bold"/>
    <w:basedOn w:val="VarsaylanParagrafYazTipi"/>
    <w:rsid w:val="00534E8B"/>
  </w:style>
  <w:style w:type="paragraph" w:styleId="GvdeMetni">
    <w:name w:val="Body Text"/>
    <w:basedOn w:val="Normal"/>
    <w:rsid w:val="007130AF"/>
    <w:rPr>
      <w:b/>
    </w:rPr>
  </w:style>
  <w:style w:type="paragraph" w:styleId="BalonMetni">
    <w:name w:val="Balloon Text"/>
    <w:basedOn w:val="Normal"/>
    <w:semiHidden/>
    <w:rsid w:val="005F74F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D69F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081544"/>
    <w:rPr>
      <w:strike w:val="0"/>
      <w:dstrike w:val="0"/>
      <w:color w:val="0000FF"/>
      <w:u w:val="none"/>
      <w:effect w:val="none"/>
    </w:rPr>
  </w:style>
  <w:style w:type="paragraph" w:styleId="GvdeMetniGirintisi2">
    <w:name w:val="Body Text Indent 2"/>
    <w:basedOn w:val="Normal"/>
    <w:link w:val="GvdeMetniGirintisi2Char"/>
    <w:rsid w:val="0019492E"/>
    <w:pPr>
      <w:spacing w:after="120" w:line="480" w:lineRule="auto"/>
      <w:ind w:left="283"/>
    </w:pPr>
  </w:style>
  <w:style w:type="character" w:customStyle="1" w:styleId="GvdeMetniGirintisi2Char">
    <w:name w:val="Gövde Metni Girintisi 2 Char"/>
    <w:link w:val="GvdeMetniGirintisi2"/>
    <w:rsid w:val="0019492E"/>
    <w:rPr>
      <w:rFonts w:ascii="Arial" w:hAnsi="Arial"/>
      <w:noProof/>
    </w:rPr>
  </w:style>
  <w:style w:type="character" w:customStyle="1" w:styleId="Balk6Char">
    <w:name w:val="Başlık 6 Char"/>
    <w:link w:val="Balk6"/>
    <w:semiHidden/>
    <w:rsid w:val="00017D01"/>
    <w:rPr>
      <w:rFonts w:ascii="Calibri" w:eastAsia="Times New Roman" w:hAnsi="Calibri" w:cs="Times New Roman"/>
      <w:b/>
      <w:bCs/>
      <w:noProof/>
      <w:sz w:val="22"/>
      <w:szCs w:val="22"/>
    </w:rPr>
  </w:style>
  <w:style w:type="paragraph" w:styleId="GvdeMetniGirintisi">
    <w:name w:val="Body Text Indent"/>
    <w:basedOn w:val="Normal"/>
    <w:link w:val="GvdeMetniGirintisiChar"/>
    <w:rsid w:val="00017D01"/>
    <w:pPr>
      <w:spacing w:after="120"/>
      <w:ind w:left="283"/>
    </w:pPr>
  </w:style>
  <w:style w:type="character" w:customStyle="1" w:styleId="GvdeMetniGirintisiChar">
    <w:name w:val="Gövde Metni Girintisi Char"/>
    <w:link w:val="GvdeMetniGirintisi"/>
    <w:rsid w:val="00017D01"/>
    <w:rPr>
      <w:rFonts w:ascii="Arial" w:hAnsi="Arial"/>
      <w:noProof/>
    </w:rPr>
  </w:style>
  <w:style w:type="paragraph" w:styleId="GvdeMetni2">
    <w:name w:val="Body Text 2"/>
    <w:basedOn w:val="Normal"/>
    <w:link w:val="GvdeMetni2Char"/>
    <w:rsid w:val="00D115E7"/>
    <w:pPr>
      <w:spacing w:after="120" w:line="480" w:lineRule="auto"/>
    </w:pPr>
  </w:style>
  <w:style w:type="character" w:customStyle="1" w:styleId="GvdeMetni2Char">
    <w:name w:val="Gövde Metni 2 Char"/>
    <w:link w:val="GvdeMetni2"/>
    <w:rsid w:val="00D115E7"/>
    <w:rPr>
      <w:rFonts w:ascii="Arial" w:hAnsi="Arial"/>
      <w:noProof/>
    </w:rPr>
  </w:style>
  <w:style w:type="paragraph" w:styleId="ListeParagraf">
    <w:name w:val="List Paragraph"/>
    <w:basedOn w:val="Normal"/>
    <w:uiPriority w:val="34"/>
    <w:qFormat/>
    <w:rsid w:val="0087552F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 w:val="22"/>
      <w:szCs w:val="22"/>
      <w:lang w:eastAsia="en-US"/>
    </w:rPr>
  </w:style>
  <w:style w:type="paragraph" w:styleId="GvdeMetni3">
    <w:name w:val="Body Text 3"/>
    <w:basedOn w:val="Normal"/>
    <w:link w:val="GvdeMetni3Char"/>
    <w:rsid w:val="00E04F55"/>
    <w:pPr>
      <w:spacing w:after="120"/>
    </w:pPr>
    <w:rPr>
      <w:sz w:val="16"/>
      <w:szCs w:val="16"/>
    </w:rPr>
  </w:style>
  <w:style w:type="character" w:customStyle="1" w:styleId="GvdeMetni3Char">
    <w:name w:val="Gövde Metni 3 Char"/>
    <w:link w:val="GvdeMetni3"/>
    <w:rsid w:val="00E04F55"/>
    <w:rPr>
      <w:rFonts w:ascii="Arial" w:hAnsi="Arial"/>
      <w:noProof/>
      <w:sz w:val="16"/>
      <w:szCs w:val="16"/>
    </w:rPr>
  </w:style>
  <w:style w:type="character" w:customStyle="1" w:styleId="Balk1Char1">
    <w:name w:val="Başlık 1 Char1"/>
    <w:aliases w:val="1 Heading Char,baslık 1 Char,Heading 1 Char Char"/>
    <w:link w:val="Balk1"/>
    <w:locked/>
    <w:rsid w:val="007D3318"/>
    <w:rPr>
      <w:rFonts w:ascii="Arial" w:eastAsia="SimSun" w:hAnsi="Arial"/>
      <w:b/>
      <w:noProof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54099">
          <w:marLeft w:val="0"/>
          <w:marRight w:val="4200"/>
          <w:marTop w:val="0"/>
          <w:marBottom w:val="0"/>
          <w:divBdr>
            <w:top w:val="none" w:sz="0" w:space="0" w:color="ECE2BF"/>
            <w:left w:val="none" w:sz="0" w:space="15" w:color="ECE2BF"/>
            <w:bottom w:val="none" w:sz="0" w:space="0" w:color="ECE2BF"/>
            <w:right w:val="none" w:sz="0" w:space="15" w:color="ECE2BF"/>
          </w:divBdr>
        </w:div>
      </w:divsChild>
    </w:div>
    <w:div w:id="1032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F02CC-5E9C-42B9-AC7F-2B703D2A0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415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tse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ayinilmez</dc:creator>
  <cp:keywords/>
  <cp:lastModifiedBy>Aslı ERZURUMDAĞ</cp:lastModifiedBy>
  <cp:revision>3</cp:revision>
  <cp:lastPrinted>2016-03-21T18:15:00Z</cp:lastPrinted>
  <dcterms:created xsi:type="dcterms:W3CDTF">2017-02-27T07:10:00Z</dcterms:created>
  <dcterms:modified xsi:type="dcterms:W3CDTF">2017-02-27T07:10:00Z</dcterms:modified>
</cp:coreProperties>
</file>